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52"/>
          <w:szCs w:val="52"/>
        </w:rPr>
      </w:pPr>
    </w:p>
    <w:p>
      <w:pPr>
        <w:jc w:val="center"/>
        <w:rPr>
          <w:b/>
          <w:bCs/>
          <w:color w:val="auto"/>
          <w:sz w:val="52"/>
          <w:szCs w:val="52"/>
        </w:rPr>
      </w:pPr>
    </w:p>
    <w:p>
      <w:pPr>
        <w:jc w:val="center"/>
        <w:rPr>
          <w:b/>
          <w:bCs/>
          <w:color w:val="auto"/>
          <w:sz w:val="52"/>
          <w:szCs w:val="52"/>
        </w:rPr>
      </w:pPr>
    </w:p>
    <w:p>
      <w:pPr>
        <w:jc w:val="center"/>
        <w:rPr>
          <w:b/>
          <w:bCs/>
          <w:color w:val="auto"/>
          <w:sz w:val="52"/>
          <w:szCs w:val="52"/>
        </w:rPr>
      </w:pPr>
    </w:p>
    <w:p>
      <w:pPr>
        <w:jc w:val="center"/>
        <w:rPr>
          <w:b/>
          <w:bCs/>
          <w:color w:val="auto"/>
          <w:sz w:val="52"/>
          <w:szCs w:val="52"/>
        </w:rPr>
      </w:pPr>
      <w:r>
        <w:rPr>
          <w:rFonts w:hint="eastAsia" w:ascii="方正小标宋简体" w:hAnsi="方正小标宋简体" w:eastAsia="方正小标宋简体" w:cs="方正小标宋简体"/>
          <w:bCs/>
          <w:color w:val="auto"/>
          <w:sz w:val="52"/>
          <w:szCs w:val="52"/>
          <w:highlight w:val="none"/>
        </w:rPr>
        <w:t>北京市妇女联合会</w:t>
      </w:r>
    </w:p>
    <w:p>
      <w:pPr>
        <w:jc w:val="center"/>
        <w:rPr>
          <w:b/>
          <w:bCs/>
          <w:color w:val="auto"/>
          <w:sz w:val="52"/>
          <w:szCs w:val="52"/>
        </w:rPr>
      </w:pPr>
    </w:p>
    <w:p>
      <w:pPr>
        <w:jc w:val="center"/>
        <w:rPr>
          <w:rFonts w:ascii="宋体" w:hAnsi="宋体" w:cs="宋体"/>
          <w:b/>
          <w:bCs/>
          <w:color w:val="auto"/>
          <w:sz w:val="52"/>
          <w:szCs w:val="52"/>
        </w:rPr>
      </w:pPr>
      <w:r>
        <w:rPr>
          <w:rFonts w:hint="eastAsia" w:ascii="方正小标宋简体" w:hAnsi="方正小标宋简体" w:eastAsia="方正小标宋简体" w:cs="方正小标宋简体"/>
          <w:bCs/>
          <w:color w:val="auto"/>
          <w:sz w:val="52"/>
          <w:szCs w:val="52"/>
          <w:highlight w:val="none"/>
        </w:rPr>
        <w:t>202</w:t>
      </w:r>
      <w:r>
        <w:rPr>
          <w:rFonts w:hint="eastAsia" w:ascii="方正小标宋简体" w:hAnsi="方正小标宋简体" w:eastAsia="方正小标宋简体" w:cs="方正小标宋简体"/>
          <w:bCs/>
          <w:color w:val="auto"/>
          <w:sz w:val="52"/>
          <w:szCs w:val="52"/>
          <w:highlight w:val="none"/>
          <w:lang w:val="en-US" w:eastAsia="zh-CN"/>
        </w:rPr>
        <w:t>4</w:t>
      </w:r>
      <w:r>
        <w:rPr>
          <w:rFonts w:hint="eastAsia" w:ascii="方正小标宋简体" w:hAnsi="方正小标宋简体" w:eastAsia="方正小标宋简体" w:cs="方正小标宋简体"/>
          <w:bCs/>
          <w:color w:val="auto"/>
          <w:sz w:val="52"/>
          <w:szCs w:val="52"/>
          <w:highlight w:val="none"/>
        </w:rPr>
        <w:t>年度部门整体绩效评价报告</w:t>
      </w:r>
    </w:p>
    <w:p>
      <w:pPr>
        <w:jc w:val="center"/>
        <w:rPr>
          <w:b/>
          <w:bCs/>
          <w:color w:val="auto"/>
          <w:sz w:val="52"/>
          <w:szCs w:val="52"/>
        </w:rPr>
      </w:pPr>
    </w:p>
    <w:p>
      <w:pPr>
        <w:rPr>
          <w:rFonts w:eastAsia="黑体"/>
          <w:color w:val="auto"/>
          <w:sz w:val="30"/>
        </w:rPr>
      </w:pPr>
    </w:p>
    <w:p>
      <w:pPr>
        <w:jc w:val="center"/>
        <w:rPr>
          <w:rFonts w:eastAsia="黑体"/>
          <w:color w:val="auto"/>
          <w:sz w:val="30"/>
        </w:rPr>
      </w:pPr>
    </w:p>
    <w:p>
      <w:pPr>
        <w:jc w:val="center"/>
        <w:rPr>
          <w:rFonts w:eastAsia="黑体"/>
          <w:color w:val="auto"/>
          <w:sz w:val="30"/>
        </w:rPr>
      </w:pPr>
    </w:p>
    <w:p>
      <w:pPr>
        <w:jc w:val="center"/>
        <w:rPr>
          <w:rFonts w:eastAsia="黑体"/>
          <w:color w:val="auto"/>
          <w:sz w:val="30"/>
        </w:rPr>
      </w:pPr>
    </w:p>
    <w:p>
      <w:pPr>
        <w:jc w:val="center"/>
        <w:rPr>
          <w:rFonts w:eastAsia="黑体"/>
          <w:color w:val="auto"/>
          <w:sz w:val="30"/>
        </w:rPr>
      </w:pPr>
    </w:p>
    <w:p>
      <w:pPr>
        <w:jc w:val="center"/>
        <w:rPr>
          <w:rFonts w:eastAsia="黑体"/>
          <w:color w:val="auto"/>
          <w:sz w:val="30"/>
        </w:rPr>
      </w:pPr>
    </w:p>
    <w:p>
      <w:pPr>
        <w:rPr>
          <w:rFonts w:eastAsia="黑体"/>
          <w:color w:val="auto"/>
          <w:sz w:val="30"/>
          <w:u w:val="single"/>
        </w:rPr>
      </w:pPr>
    </w:p>
    <w:p>
      <w:pPr>
        <w:rPr>
          <w:rFonts w:ascii="宋体" w:cs="宋体"/>
          <w:bCs/>
          <w:color w:val="auto"/>
          <w:sz w:val="36"/>
          <w:szCs w:val="36"/>
        </w:rPr>
      </w:pPr>
    </w:p>
    <w:p>
      <w:pPr>
        <w:rPr>
          <w:rFonts w:ascii="宋体" w:cs="宋体"/>
          <w:bCs/>
          <w:color w:val="auto"/>
          <w:sz w:val="36"/>
          <w:szCs w:val="36"/>
        </w:rPr>
      </w:pPr>
    </w:p>
    <w:p>
      <w:pPr>
        <w:jc w:val="center"/>
        <w:rPr>
          <w:rFonts w:hint="eastAsia" w:ascii="宋体" w:cs="宋体"/>
          <w:bCs/>
          <w:color w:val="auto"/>
          <w:sz w:val="36"/>
          <w:szCs w:val="36"/>
        </w:rPr>
      </w:pPr>
    </w:p>
    <w:p>
      <w:pPr>
        <w:jc w:val="center"/>
        <w:rPr>
          <w:rFonts w:ascii="宋体" w:cs="宋体"/>
          <w:bCs/>
          <w:color w:val="auto"/>
          <w:sz w:val="36"/>
          <w:szCs w:val="36"/>
        </w:rPr>
      </w:pPr>
      <w:r>
        <w:rPr>
          <w:rFonts w:hint="eastAsia" w:ascii="仿宋_GB2312" w:hAnsi="仿宋_GB2312" w:eastAsia="仿宋_GB2312" w:cs="仿宋_GB2312"/>
          <w:b/>
          <w:bCs/>
          <w:color w:val="auto"/>
          <w:sz w:val="32"/>
          <w:szCs w:val="32"/>
          <w:highlight w:val="none"/>
          <w:lang w:val="en-US" w:eastAsia="zh-CN"/>
        </w:rPr>
        <w:t>2025年5月</w:t>
      </w:r>
    </w:p>
    <w:p>
      <w:pPr>
        <w:pStyle w:val="2"/>
        <w:rPr>
          <w:color w:val="auto"/>
        </w:rPr>
      </w:pPr>
    </w:p>
    <w:p>
      <w:pPr>
        <w:rPr>
          <w:rFonts w:ascii="方正小标宋简体" w:eastAsia="方正小标宋简体"/>
          <w:color w:val="auto"/>
          <w:sz w:val="36"/>
          <w:szCs w:val="36"/>
        </w:rPr>
        <w:sectPr>
          <w:footerReference r:id="rId6" w:type="first"/>
          <w:footerReference r:id="rId4" w:type="default"/>
          <w:headerReference r:id="rId3" w:type="even"/>
          <w:footerReference r:id="rId5" w:type="even"/>
          <w:pgSz w:w="11906" w:h="16838"/>
          <w:pgMar w:top="1440" w:right="1800" w:bottom="1440" w:left="1800" w:header="851" w:footer="992" w:gutter="0"/>
          <w:pgNumType w:fmt="decimal" w:start="1"/>
          <w:cols w:space="425" w:num="1"/>
          <w:titlePg/>
          <w:docGrid w:type="lines" w:linePitch="312" w:charSpace="0"/>
        </w:sectPr>
      </w:pPr>
      <w:r>
        <w:rPr>
          <w:rFonts w:hint="eastAsia" w:ascii="方正小标宋简体" w:eastAsia="方正小标宋简体"/>
          <w:color w:val="auto"/>
          <w:sz w:val="36"/>
          <w:szCs w:val="36"/>
        </w:rPr>
        <w:br w:type="page"/>
      </w:r>
    </w:p>
    <w:sdt>
      <w:sdtPr>
        <w:rPr>
          <w:rFonts w:ascii="宋体" w:hAnsi="宋体"/>
          <w:b/>
          <w:bCs/>
          <w:color w:val="auto"/>
        </w:rPr>
        <w:id w:val="147473636"/>
        <w:docPartObj>
          <w:docPartGallery w:val="Table of Contents"/>
          <w:docPartUnique/>
        </w:docPartObj>
      </w:sdtPr>
      <w:sdtEndPr>
        <w:rPr>
          <w:rFonts w:hint="eastAsia" w:ascii="仿宋_GB2312" w:hAnsi="仿宋_GB2312" w:eastAsia="仿宋_GB2312" w:cs="仿宋_GB2312"/>
          <w:b/>
          <w:bCs/>
          <w:color w:val="auto"/>
          <w:sz w:val="28"/>
          <w:szCs w:val="28"/>
        </w:rPr>
      </w:sdtEndPr>
      <w:sdtContent>
        <w:p>
          <w:pPr>
            <w:spacing w:line="480" w:lineRule="auto"/>
            <w:jc w:val="center"/>
            <w:rPr>
              <w:rFonts w:ascii="仿宋_GB2312" w:eastAsia="仿宋_GB2312"/>
              <w:b/>
              <w:bCs/>
              <w:color w:val="auto"/>
              <w:sz w:val="44"/>
              <w:szCs w:val="44"/>
              <w:lang w:val="zh-CN"/>
            </w:rPr>
          </w:pPr>
          <w:r>
            <w:rPr>
              <w:rFonts w:ascii="仿宋_GB2312" w:eastAsia="仿宋_GB2312"/>
              <w:b/>
              <w:bCs/>
              <w:color w:val="auto"/>
              <w:sz w:val="44"/>
              <w:szCs w:val="44"/>
              <w:lang w:val="zh-CN"/>
            </w:rPr>
            <w:t>目录</w:t>
          </w:r>
        </w:p>
        <w:p>
          <w:pPr>
            <w:pStyle w:val="14"/>
            <w:tabs>
              <w:tab w:val="right" w:leader="dot" w:pos="8306"/>
            </w:tabs>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0"/>
              <w:sz w:val="32"/>
              <w:szCs w:val="32"/>
            </w:rPr>
            <w:fldChar w:fldCharType="begin"/>
          </w:r>
          <w:r>
            <w:rPr>
              <w:rFonts w:hint="eastAsia" w:ascii="仿宋_GB2312" w:hAnsi="仿宋_GB2312" w:eastAsia="仿宋_GB2312" w:cs="仿宋_GB2312"/>
              <w:b/>
              <w:bCs/>
              <w:color w:val="auto"/>
              <w:kern w:val="0"/>
              <w:sz w:val="32"/>
              <w:szCs w:val="32"/>
            </w:rPr>
            <w:instrText xml:space="preserve"> TOC \o "1-3" \h \z \u </w:instrText>
          </w:r>
          <w:r>
            <w:rPr>
              <w:rFonts w:hint="eastAsia" w:ascii="仿宋_GB2312" w:hAnsi="仿宋_GB2312" w:eastAsia="仿宋_GB2312" w:cs="仿宋_GB2312"/>
              <w:b/>
              <w:bCs/>
              <w:color w:val="auto"/>
              <w:kern w:val="0"/>
              <w:sz w:val="32"/>
              <w:szCs w:val="32"/>
            </w:rPr>
            <w:fldChar w:fldCharType="separate"/>
          </w:r>
          <w:r>
            <w:rPr>
              <w:rFonts w:hint="eastAsia" w:ascii="仿宋_GB2312" w:hAnsi="仿宋_GB2312" w:eastAsia="仿宋_GB2312" w:cs="仿宋_GB2312"/>
              <w:b/>
              <w:bCs/>
              <w:color w:val="auto"/>
              <w:kern w:val="0"/>
              <w:sz w:val="32"/>
              <w:szCs w:val="32"/>
            </w:rPr>
            <w:fldChar w:fldCharType="begin"/>
          </w:r>
          <w:r>
            <w:rPr>
              <w:rFonts w:hint="eastAsia" w:ascii="仿宋_GB2312" w:hAnsi="仿宋_GB2312" w:eastAsia="仿宋_GB2312" w:cs="仿宋_GB2312"/>
              <w:b/>
              <w:bCs/>
              <w:kern w:val="0"/>
              <w:sz w:val="32"/>
              <w:szCs w:val="32"/>
            </w:rPr>
            <w:instrText xml:space="preserve"> HYPERLINK \l _Toc5552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一、部门概况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_Toc5552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_Toc5225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rPr>
            <w:t>（一）机构设置及职责工作任务情况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_Toc24690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kern w:val="0"/>
              <w:sz w:val="32"/>
              <w:szCs w:val="32"/>
            </w:rPr>
            <w:t>1.机构设置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_Toc24690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_Toc13345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.主要职能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_Toc1985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highlight w:val="none"/>
            </w:rPr>
            <w:t>（二）部门整体绩效目标设立情况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4"/>
            <w:tabs>
              <w:tab w:val="right" w:leader="dot" w:pos="8306"/>
            </w:tabs>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0"/>
              <w:sz w:val="32"/>
              <w:szCs w:val="32"/>
            </w:rPr>
            <w:fldChar w:fldCharType="begin"/>
          </w:r>
          <w:r>
            <w:rPr>
              <w:rFonts w:hint="eastAsia" w:ascii="仿宋_GB2312" w:hAnsi="仿宋_GB2312" w:eastAsia="仿宋_GB2312" w:cs="仿宋_GB2312"/>
              <w:b/>
              <w:bCs/>
              <w:kern w:val="0"/>
              <w:sz w:val="32"/>
              <w:szCs w:val="32"/>
            </w:rPr>
            <w:instrText xml:space="preserve"> HYPERLINK \l _Toc942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二、当年预算执行情况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_Toc942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rPr>
            <w:fldChar w:fldCharType="end"/>
          </w:r>
        </w:p>
        <w:p>
          <w:pPr>
            <w:pStyle w:val="14"/>
            <w:tabs>
              <w:tab w:val="right" w:leader="dot" w:pos="8306"/>
            </w:tabs>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0"/>
              <w:sz w:val="32"/>
              <w:szCs w:val="32"/>
            </w:rPr>
            <w:fldChar w:fldCharType="begin"/>
          </w:r>
          <w:r>
            <w:rPr>
              <w:rFonts w:hint="eastAsia" w:ascii="仿宋_GB2312" w:hAnsi="仿宋_GB2312" w:eastAsia="仿宋_GB2312" w:cs="仿宋_GB2312"/>
              <w:b/>
              <w:bCs/>
              <w:kern w:val="0"/>
              <w:sz w:val="32"/>
              <w:szCs w:val="32"/>
            </w:rPr>
            <w:instrText xml:space="preserve"> HYPERLINK \l _Toc13421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三、整体绩效目标实现情况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_Toc13421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_Toc22985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rPr>
            <w:t>（一）产出完成情况分析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_Toc22985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_Toc4952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1.产出数量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_Toc14448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2.产出质量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_Toc10188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3.产出进度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_Toc10188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_Toc511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4.产出成本</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_Toc28164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sz w:val="32"/>
              <w:szCs w:val="32"/>
            </w:rPr>
            <w:t>（二）效果实现情况分析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_Toc8139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1.社会效益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_Toc8139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_Toc14304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2.可持续性影响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_Toc31377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3.服务对象满意度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4"/>
            <w:tabs>
              <w:tab w:val="right" w:leader="dot" w:pos="8306"/>
            </w:tabs>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0"/>
              <w:sz w:val="32"/>
              <w:szCs w:val="32"/>
            </w:rPr>
            <w:fldChar w:fldCharType="begin"/>
          </w:r>
          <w:r>
            <w:rPr>
              <w:rFonts w:hint="eastAsia" w:ascii="仿宋_GB2312" w:hAnsi="仿宋_GB2312" w:eastAsia="仿宋_GB2312" w:cs="仿宋_GB2312"/>
              <w:b/>
              <w:bCs/>
              <w:kern w:val="0"/>
              <w:sz w:val="32"/>
              <w:szCs w:val="32"/>
            </w:rPr>
            <w:instrText xml:space="preserve"> HYPERLINK \l _Toc6179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四、预算管理情况分析</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_Toc6179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_Toc15154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rPr>
            <w:t>（一）财务管理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_Toc15154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_Toc6308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1.财务管理制度健全性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_Toc6308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_Toc16031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2.资金使用合规性和安全性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_Toc6948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3.会计基础信息完善性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_Toc15847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rPr>
            <w:t>（二）资产管理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_Toc15847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_Toc412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1.资产总体情况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2"/>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_Toc29616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kern w:val="0"/>
              <w:sz w:val="32"/>
              <w:szCs w:val="32"/>
            </w:rPr>
            <w:t>2.资产管理制度及过程管理情况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_Toc29616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_Toc25161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rPr>
            <w:t>（三）绩效管理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_Toc25161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_Toc4789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rPr>
            <w:t>（四）结转结余率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_Toc27833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rPr>
            <w:t>（五）部门预决算差异率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4"/>
            <w:tabs>
              <w:tab w:val="right" w:leader="dot" w:pos="8306"/>
            </w:tabs>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0"/>
              <w:sz w:val="32"/>
              <w:szCs w:val="32"/>
            </w:rPr>
            <w:fldChar w:fldCharType="begin"/>
          </w:r>
          <w:r>
            <w:rPr>
              <w:rFonts w:hint="eastAsia" w:ascii="仿宋_GB2312" w:hAnsi="仿宋_GB2312" w:eastAsia="仿宋_GB2312" w:cs="仿宋_GB2312"/>
              <w:b/>
              <w:bCs/>
              <w:kern w:val="0"/>
              <w:sz w:val="32"/>
              <w:szCs w:val="32"/>
            </w:rPr>
            <w:instrText xml:space="preserve"> HYPERLINK \l _Toc15615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五、总体评价结论</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_Toc15615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_Toc4266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rPr>
            <w:t>（一）评价得分情况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5"/>
            <w:tabs>
              <w:tab w:val="right" w:leader="dot" w:pos="8306"/>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fldChar w:fldCharType="begin"/>
          </w:r>
          <w:r>
            <w:rPr>
              <w:rFonts w:hint="eastAsia" w:ascii="仿宋_GB2312" w:hAnsi="仿宋_GB2312" w:eastAsia="仿宋_GB2312" w:cs="仿宋_GB2312"/>
              <w:bCs/>
              <w:kern w:val="0"/>
              <w:sz w:val="32"/>
              <w:szCs w:val="32"/>
            </w:rPr>
            <w:instrText xml:space="preserve"> HYPERLINK \l _Toc27106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sz w:val="32"/>
              <w:szCs w:val="32"/>
            </w:rPr>
            <w:t>（二）存在的问题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rPr>
            <w:fldChar w:fldCharType="end"/>
          </w:r>
        </w:p>
        <w:p>
          <w:pPr>
            <w:pStyle w:val="14"/>
            <w:tabs>
              <w:tab w:val="right" w:leader="dot" w:pos="8306"/>
            </w:tabs>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0"/>
              <w:sz w:val="32"/>
              <w:szCs w:val="32"/>
            </w:rPr>
            <w:fldChar w:fldCharType="begin"/>
          </w:r>
          <w:r>
            <w:rPr>
              <w:rFonts w:hint="eastAsia" w:ascii="仿宋_GB2312" w:hAnsi="仿宋_GB2312" w:eastAsia="仿宋_GB2312" w:cs="仿宋_GB2312"/>
              <w:b/>
              <w:bCs/>
              <w:kern w:val="0"/>
              <w:sz w:val="32"/>
              <w:szCs w:val="32"/>
            </w:rPr>
            <w:instrText xml:space="preserve"> HYPERLINK \l _Toc15485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六、措施建议</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_Toc15485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17</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rPr>
            <w:fldChar w:fldCharType="end"/>
          </w:r>
        </w:p>
        <w:p>
          <w:pPr>
            <w:pStyle w:val="14"/>
            <w:tabs>
              <w:tab w:val="right" w:leader="dot" w:pos="8306"/>
            </w:tabs>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kern w:val="0"/>
              <w:sz w:val="32"/>
              <w:szCs w:val="32"/>
            </w:rPr>
            <w:fldChar w:fldCharType="begin"/>
          </w:r>
          <w:r>
            <w:rPr>
              <w:rFonts w:hint="eastAsia" w:ascii="仿宋_GB2312" w:hAnsi="仿宋_GB2312" w:eastAsia="仿宋_GB2312" w:cs="仿宋_GB2312"/>
              <w:b/>
              <w:bCs/>
              <w:kern w:val="0"/>
              <w:sz w:val="32"/>
              <w:szCs w:val="32"/>
            </w:rPr>
            <w:instrText xml:space="preserve"> HYPERLINK \l _Toc22806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t>七、附件</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_Toc22806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Cs/>
              <w:color w:val="auto"/>
              <w:kern w:val="0"/>
              <w:sz w:val="32"/>
              <w:szCs w:val="32"/>
            </w:rPr>
            <w:fldChar w:fldCharType="end"/>
          </w:r>
        </w:p>
      </w:sdtContent>
    </w:sdt>
    <w:p>
      <w:pPr>
        <w:pStyle w:val="17"/>
        <w:rPr>
          <w:color w:val="auto"/>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p>
    <w:p>
      <w:pPr>
        <w:spacing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北京市妇女联合会</w:t>
      </w:r>
      <w:r>
        <w:rPr>
          <w:rFonts w:ascii="方正小标宋简体" w:eastAsia="方正小标宋简体"/>
          <w:color w:val="auto"/>
          <w:sz w:val="44"/>
          <w:szCs w:val="44"/>
        </w:rPr>
        <w:br w:type="textWrapping"/>
      </w:r>
      <w:r>
        <w:rPr>
          <w:rFonts w:hint="eastAsia"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4</w:t>
      </w:r>
      <w:r>
        <w:rPr>
          <w:rFonts w:hint="eastAsia" w:ascii="方正小标宋简体" w:eastAsia="方正小标宋简体"/>
          <w:color w:val="auto"/>
          <w:sz w:val="44"/>
          <w:szCs w:val="44"/>
        </w:rPr>
        <w:t>年度部门整体绩效评价报告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为进一步加强预算绩效管理，强化支出责任，提高财政资金使用效益</w:t>
      </w:r>
      <w:r>
        <w:rPr>
          <w:rFonts w:hint="eastAsia" w:ascii="仿宋_GB2312" w:hAnsi="楷体" w:eastAsia="仿宋_GB2312"/>
          <w:bCs/>
          <w:color w:val="auto"/>
          <w:kern w:val="0"/>
          <w:sz w:val="32"/>
          <w:szCs w:val="28"/>
          <w:lang w:val="en-US" w:eastAsia="zh-CN"/>
        </w:rPr>
        <w:t>和部门综合管理水平</w:t>
      </w:r>
      <w:r>
        <w:rPr>
          <w:rFonts w:hint="eastAsia" w:ascii="仿宋_GB2312" w:hAnsi="楷体" w:eastAsia="仿宋_GB2312"/>
          <w:bCs/>
          <w:color w:val="auto"/>
          <w:kern w:val="0"/>
          <w:sz w:val="32"/>
          <w:szCs w:val="28"/>
        </w:rPr>
        <w:t>，根据</w:t>
      </w:r>
      <w:r>
        <w:rPr>
          <w:rFonts w:hint="eastAsia" w:ascii="仿宋_GB2312" w:hAnsi="仿宋_GB2312" w:eastAsia="仿宋_GB2312" w:cs="仿宋_GB2312"/>
          <w:color w:val="auto"/>
          <w:sz w:val="32"/>
        </w:rPr>
        <w:t>中共北京市委 北京市人民政府《关于全面实施预算绩效管理的实施意见》（京发〔2019〕12号）、</w:t>
      </w:r>
      <w:r>
        <w:rPr>
          <w:rFonts w:hint="eastAsia" w:ascii="仿宋_GB2312" w:hAnsi="楷体" w:eastAsia="仿宋_GB2312"/>
          <w:bCs/>
          <w:color w:val="auto"/>
          <w:kern w:val="0"/>
          <w:sz w:val="32"/>
          <w:szCs w:val="28"/>
        </w:rPr>
        <w:t>《北京市项目支出绩效评价管理办法》（京财绩效〔2020〕2146号）</w:t>
      </w:r>
      <w:r>
        <w:rPr>
          <w:rFonts w:hint="eastAsia" w:ascii="仿宋_GB2312" w:hAnsi="楷体" w:eastAsia="仿宋_GB2312"/>
          <w:bCs/>
          <w:color w:val="auto"/>
          <w:kern w:val="0"/>
          <w:sz w:val="32"/>
          <w:szCs w:val="28"/>
          <w:lang w:val="en-US" w:eastAsia="zh-CN"/>
        </w:rPr>
        <w:t>和</w:t>
      </w:r>
      <w:r>
        <w:rPr>
          <w:rFonts w:hint="eastAsia" w:ascii="仿宋_GB2312" w:hAnsi="仿宋_GB2312" w:eastAsia="仿宋_GB2312" w:cs="仿宋_GB2312"/>
          <w:color w:val="auto"/>
          <w:sz w:val="32"/>
          <w:lang w:eastAsia="zh-CN"/>
        </w:rPr>
        <w:t>《北京市市级政府购买服务预算绩效管理办法》（京财综〔2024〕213号）</w:t>
      </w:r>
      <w:r>
        <w:rPr>
          <w:rFonts w:hint="eastAsia" w:ascii="仿宋_GB2312" w:hAnsi="仿宋_GB2312" w:eastAsia="仿宋_GB2312" w:cs="仿宋_GB2312"/>
          <w:color w:val="auto"/>
          <w:sz w:val="32"/>
          <w:lang w:val="en-US" w:eastAsia="zh-CN"/>
        </w:rPr>
        <w:t>等要求</w:t>
      </w:r>
      <w:r>
        <w:rPr>
          <w:rFonts w:hint="eastAsia" w:ascii="仿宋_GB2312" w:hAnsi="楷体" w:eastAsia="仿宋_GB2312"/>
          <w:bCs/>
          <w:color w:val="auto"/>
          <w:kern w:val="0"/>
          <w:sz w:val="32"/>
          <w:szCs w:val="28"/>
        </w:rPr>
        <w:t>，结合</w:t>
      </w:r>
      <w:r>
        <w:rPr>
          <w:rFonts w:hint="eastAsia" w:ascii="仿宋_GB2312" w:hAnsi="楷体" w:eastAsia="仿宋_GB2312"/>
          <w:bCs/>
          <w:color w:val="auto"/>
          <w:kern w:val="0"/>
          <w:sz w:val="32"/>
          <w:szCs w:val="28"/>
          <w:lang w:eastAsia="zh-CN"/>
        </w:rPr>
        <w:t>《</w:t>
      </w:r>
      <w:r>
        <w:rPr>
          <w:rFonts w:hint="eastAsia" w:ascii="仿宋_GB2312" w:eastAsia="仿宋_GB2312"/>
          <w:color w:val="auto"/>
          <w:sz w:val="32"/>
          <w:szCs w:val="28"/>
        </w:rPr>
        <w:t>北京市财政局关于2025年预算绩效管理工作的通知</w:t>
      </w:r>
      <w:r>
        <w:rPr>
          <w:rFonts w:hint="eastAsia" w:ascii="仿宋_GB2312" w:eastAsia="仿宋_GB2312"/>
          <w:color w:val="auto"/>
          <w:sz w:val="32"/>
          <w:szCs w:val="28"/>
          <w:lang w:eastAsia="zh-CN"/>
        </w:rPr>
        <w:t>》</w:t>
      </w:r>
      <w:r>
        <w:rPr>
          <w:rFonts w:hint="eastAsia" w:ascii="仿宋_GB2312" w:eastAsia="仿宋_GB2312"/>
          <w:color w:val="auto"/>
          <w:sz w:val="32"/>
          <w:szCs w:val="28"/>
        </w:rPr>
        <w:t>（京财绩效〔2025〕245号）</w:t>
      </w:r>
      <w:r>
        <w:rPr>
          <w:rFonts w:hint="eastAsia" w:ascii="仿宋_GB2312" w:hAnsi="楷体" w:eastAsia="仿宋_GB2312"/>
          <w:bCs/>
          <w:color w:val="auto"/>
          <w:kern w:val="0"/>
          <w:sz w:val="32"/>
          <w:szCs w:val="28"/>
        </w:rPr>
        <w:t>的工作安排，北京市妇女联合会（以下简称“市妇联”）组织实施202</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rPr>
        <w:t>年度部门整体绩效评价工作，形成本绩效评价报告。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宋体"/>
          <w:color w:val="auto"/>
          <w:kern w:val="0"/>
          <w:sz w:val="32"/>
          <w:szCs w:val="32"/>
        </w:rPr>
      </w:pPr>
      <w:bookmarkStart w:id="0" w:name="_Toc19647"/>
      <w:bookmarkStart w:id="1" w:name="_Toc2966"/>
      <w:bookmarkStart w:id="2" w:name="_Toc7982"/>
      <w:bookmarkStart w:id="3" w:name="_Toc5552"/>
      <w:bookmarkStart w:id="4" w:name="_Toc15377"/>
      <w:bookmarkStart w:id="5" w:name="_Toc30033"/>
      <w:bookmarkStart w:id="6" w:name="_Toc27252"/>
      <w:bookmarkStart w:id="7" w:name="_Toc932"/>
      <w:bookmarkStart w:id="8" w:name="_Toc15710"/>
      <w:bookmarkStart w:id="9" w:name="_Toc29562"/>
      <w:bookmarkStart w:id="10" w:name="_Toc2617"/>
      <w:r>
        <w:rPr>
          <w:rFonts w:hint="eastAsia" w:ascii="黑体" w:hAnsi="黑体" w:eastAsia="黑体" w:cs="宋体"/>
          <w:color w:val="auto"/>
          <w:kern w:val="0"/>
          <w:sz w:val="32"/>
          <w:szCs w:val="32"/>
        </w:rPr>
        <w:t>一、部门概况</w:t>
      </w:r>
      <w:bookmarkEnd w:id="0"/>
      <w:bookmarkEnd w:id="1"/>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ascii="楷体" w:hAnsi="楷体" w:eastAsia="楷体"/>
          <w:b/>
          <w:bCs/>
          <w:color w:val="auto"/>
          <w:sz w:val="32"/>
          <w:szCs w:val="32"/>
        </w:rPr>
      </w:pPr>
      <w:bookmarkStart w:id="11" w:name="_Toc7756"/>
      <w:bookmarkStart w:id="12" w:name="_Toc10537"/>
      <w:bookmarkStart w:id="13" w:name="_Toc14152"/>
      <w:bookmarkStart w:id="14" w:name="_Toc29953"/>
      <w:bookmarkStart w:id="15" w:name="_Toc3726"/>
      <w:bookmarkStart w:id="16" w:name="_Toc15263"/>
      <w:bookmarkStart w:id="17" w:name="_Toc26215"/>
      <w:bookmarkStart w:id="18" w:name="_Toc5225"/>
      <w:bookmarkStart w:id="19" w:name="_Toc23391"/>
      <w:bookmarkStart w:id="20" w:name="_Toc28997"/>
      <w:bookmarkStart w:id="21" w:name="_Toc30314"/>
      <w:r>
        <w:rPr>
          <w:rFonts w:hint="eastAsia" w:ascii="楷体" w:hAnsi="楷体" w:eastAsia="楷体"/>
          <w:b/>
          <w:bCs/>
          <w:color w:val="auto"/>
          <w:sz w:val="32"/>
          <w:szCs w:val="32"/>
        </w:rPr>
        <w:t>（一）机构设置及职责工作任务情况</w:t>
      </w:r>
      <w:bookmarkEnd w:id="11"/>
      <w:bookmarkEnd w:id="12"/>
      <w:bookmarkEnd w:id="13"/>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ascii="仿宋_GB2312" w:hAnsi="楷体" w:eastAsia="仿宋_GB2312"/>
          <w:bCs/>
          <w:color w:val="auto"/>
          <w:kern w:val="0"/>
          <w:sz w:val="32"/>
          <w:szCs w:val="28"/>
        </w:rPr>
      </w:pPr>
      <w:bookmarkStart w:id="22" w:name="_Toc11458"/>
      <w:bookmarkStart w:id="23" w:name="_Toc25191"/>
      <w:bookmarkStart w:id="24" w:name="_Toc27565"/>
      <w:bookmarkStart w:id="25" w:name="_Toc9771"/>
      <w:bookmarkStart w:id="26" w:name="_Toc24690"/>
      <w:bookmarkStart w:id="27" w:name="_Toc7928"/>
      <w:bookmarkStart w:id="28" w:name="_Toc6743"/>
      <w:bookmarkStart w:id="29" w:name="_Toc19701"/>
      <w:bookmarkStart w:id="30" w:name="_Toc26171"/>
      <w:bookmarkStart w:id="31" w:name="_Toc27182"/>
      <w:bookmarkStart w:id="32" w:name="_Toc25180"/>
      <w:r>
        <w:rPr>
          <w:rFonts w:hint="eastAsia" w:ascii="仿宋_GB2312" w:hAnsi="楷体" w:eastAsia="仿宋_GB2312"/>
          <w:bCs/>
          <w:color w:val="auto"/>
          <w:kern w:val="0"/>
          <w:sz w:val="32"/>
          <w:szCs w:val="28"/>
        </w:rPr>
        <w:t>1.机构设置</w:t>
      </w:r>
      <w:bookmarkEnd w:id="22"/>
      <w:bookmarkEnd w:id="23"/>
      <w:bookmarkEnd w:id="24"/>
      <w:bookmarkEnd w:id="25"/>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北京市妇女联合会成立于1949年11月，是中共北京市委领导下的北京市各族各界妇女的群众团体组织，是党和政府联系妇女群众的桥梁和纽带。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市妇联所属事业单位共4个，分别为北京市妇女儿童服务中心（以下简称“</w:t>
      </w:r>
      <w:r>
        <w:rPr>
          <w:rFonts w:hint="eastAsia" w:ascii="仿宋_GB2312" w:hAnsi="楷体" w:eastAsia="仿宋_GB2312"/>
          <w:bCs/>
          <w:color w:val="auto"/>
          <w:kern w:val="0"/>
          <w:sz w:val="32"/>
          <w:szCs w:val="28"/>
          <w:lang w:val="en-US" w:eastAsia="zh-CN"/>
        </w:rPr>
        <w:t>妇儿中心</w:t>
      </w:r>
      <w:r>
        <w:rPr>
          <w:rFonts w:hint="eastAsia" w:ascii="仿宋_GB2312" w:hAnsi="楷体" w:eastAsia="仿宋_GB2312"/>
          <w:bCs/>
          <w:color w:val="auto"/>
          <w:kern w:val="0"/>
          <w:sz w:val="32"/>
          <w:szCs w:val="28"/>
        </w:rPr>
        <w:t>”）、北京市妇女国际交流中心（以下简称“</w:t>
      </w:r>
      <w:r>
        <w:rPr>
          <w:rFonts w:hint="eastAsia" w:ascii="仿宋_GB2312" w:hAnsi="楷体" w:eastAsia="仿宋_GB2312"/>
          <w:bCs/>
          <w:color w:val="auto"/>
          <w:kern w:val="0"/>
          <w:sz w:val="32"/>
          <w:szCs w:val="28"/>
          <w:lang w:val="en-US" w:eastAsia="zh-CN"/>
        </w:rPr>
        <w:t>国际交流中心</w:t>
      </w:r>
      <w:r>
        <w:rPr>
          <w:rFonts w:hint="eastAsia" w:ascii="仿宋_GB2312" w:hAnsi="楷体" w:eastAsia="仿宋_GB2312"/>
          <w:bCs/>
          <w:color w:val="auto"/>
          <w:kern w:val="0"/>
          <w:sz w:val="32"/>
          <w:szCs w:val="28"/>
        </w:rPr>
        <w:t>”）、北京市妇女干部学校（以下简称“</w:t>
      </w:r>
      <w:r>
        <w:rPr>
          <w:rFonts w:hint="eastAsia" w:ascii="仿宋_GB2312" w:hAnsi="楷体" w:eastAsia="仿宋_GB2312"/>
          <w:bCs/>
          <w:color w:val="auto"/>
          <w:kern w:val="0"/>
          <w:sz w:val="32"/>
          <w:szCs w:val="28"/>
          <w:lang w:val="en-US" w:eastAsia="zh-CN"/>
        </w:rPr>
        <w:t>妇干校</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和</w:t>
      </w:r>
      <w:r>
        <w:rPr>
          <w:rFonts w:hint="eastAsia" w:ascii="仿宋_GB2312" w:hAnsi="楷体" w:eastAsia="仿宋_GB2312"/>
          <w:bCs/>
          <w:color w:val="auto"/>
          <w:kern w:val="0"/>
          <w:sz w:val="32"/>
          <w:szCs w:val="28"/>
        </w:rPr>
        <w:t>北京市妇女发展研究中心（以下简称“</w:t>
      </w:r>
      <w:r>
        <w:rPr>
          <w:rFonts w:hint="eastAsia" w:ascii="仿宋_GB2312" w:hAnsi="楷体" w:eastAsia="仿宋_GB2312"/>
          <w:bCs/>
          <w:color w:val="auto"/>
          <w:kern w:val="0"/>
          <w:sz w:val="32"/>
          <w:szCs w:val="28"/>
          <w:lang w:val="en-US" w:eastAsia="zh-CN"/>
        </w:rPr>
        <w:t>发展研究中心</w:t>
      </w:r>
      <w:r>
        <w:rPr>
          <w:rFonts w:hint="eastAsia" w:ascii="仿宋_GB2312" w:hAnsi="楷体" w:eastAsia="仿宋_GB2312"/>
          <w:bCs/>
          <w:color w:val="auto"/>
          <w:kern w:val="0"/>
          <w:sz w:val="32"/>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楷体" w:eastAsia="仿宋_GB2312"/>
          <w:bCs/>
          <w:color w:val="auto"/>
          <w:kern w:val="0"/>
          <w:sz w:val="32"/>
          <w:szCs w:val="28"/>
        </w:rPr>
      </w:pPr>
      <w:bookmarkStart w:id="33" w:name="_Toc19711"/>
      <w:bookmarkStart w:id="34" w:name="_Toc23604"/>
      <w:bookmarkStart w:id="35" w:name="_Toc3198"/>
      <w:bookmarkStart w:id="36" w:name="_Toc18621"/>
      <w:bookmarkStart w:id="37" w:name="_Toc25437"/>
      <w:bookmarkStart w:id="38" w:name="_Toc21696"/>
      <w:bookmarkStart w:id="39" w:name="_Toc23682"/>
      <w:bookmarkStart w:id="40" w:name="_Toc25894"/>
      <w:bookmarkStart w:id="41" w:name="_Toc3628"/>
      <w:bookmarkStart w:id="42" w:name="_Toc13345"/>
      <w:bookmarkStart w:id="43" w:name="_Toc7240"/>
      <w:r>
        <w:rPr>
          <w:rFonts w:hint="eastAsia" w:ascii="仿宋_GB2312" w:hAnsi="楷体" w:eastAsia="仿宋_GB2312"/>
          <w:bCs/>
          <w:color w:val="auto"/>
          <w:kern w:val="0"/>
          <w:sz w:val="32"/>
          <w:szCs w:val="28"/>
          <w:lang w:val="en-US" w:eastAsia="zh-CN"/>
        </w:rPr>
        <w:t>2</w:t>
      </w:r>
      <w:r>
        <w:rPr>
          <w:rFonts w:hint="eastAsia" w:ascii="仿宋_GB2312" w:hAnsi="楷体" w:eastAsia="仿宋_GB2312"/>
          <w:bCs/>
          <w:color w:val="auto"/>
          <w:kern w:val="0"/>
          <w:sz w:val="32"/>
          <w:szCs w:val="28"/>
        </w:rPr>
        <w:t>.主要职能</w:t>
      </w:r>
      <w:bookmarkEnd w:id="33"/>
      <w:bookmarkEnd w:id="34"/>
      <w:bookmarkEnd w:id="35"/>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市妇联的基本职能是代表和维护妇女权益，促进男女平等。主要职责如下：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1</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坚持正确的政治方向，团结教育首都各族各界妇女以及各类妇女组织贯彻执行国家有关方针、政策、法律、法规及本市的有关规定，同党中央在思想上、政治上、行动上保持高度一致。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2</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紧密围绕市委和市政府的中心任务开展工作，团结、动员全市妇女群众投身改革开放和首都的两个文明建设，积极促进首都经济发展和社会进步。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宣传马克思主义妇女观和男女平等的思想</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教育、引导妇女树立正确的世界观、人生观、价值观，弘扬“自尊、自信、自立、自强”精神，积极开展对妇女的教育培训。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代表妇女参与国家和社会事务的民主管理和民主监督；关注并加强研究涉及妇女切身利益的热点、难点问题，及时向市委和市政府反映社情民意，提出对策建议；参与研究制定有关妇女儿童的法律、法规和政策。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5</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坚持为妇女儿童服务、为基层服务，加强与社会各界的联系，协调推动全社会为妇女儿童办实事。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6</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负责指导市妇联机关所属事业单位及女性团体的工作。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7</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指导区县级妇联依据《中华全国妇女联合会章程》和妇女代表大会的任务，开展妇女儿童工作；联系团体会员并给予工作指导。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8</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加强同香港、澳门特别行政区，台湾及海外侨胞妇女的联谊；拓展同世界各国妇女和妇女组织的友好交往，增进了解和友谊，开展国际合作。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9</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承担北京市妇女儿童工作委员会的日常工作。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10</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研究提出全市妇女组织参与社会建设的规划、计划和政策、文件；统筹协调妇联系统“枢纽型”社会组织建设；负责妇女儿童类社会组织业务审查和日常联系、服务和管理工作；协调指导各区、各有关单位开展妇女社会组织组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11</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组织指导推动和谐家庭创建活动和家庭文化建设等工作，指导各级妇联配合有关方面开展家庭教育活动；参与研究拟定有关儿童保护方面的法律法规和政策，协助推动儿童发展规划实施；组织指导各级妇联开展有益于儿童身心健康的活动，宣传儿童优先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12</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承办市委、市政府交办的其他事项。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 w:hAnsi="楷体" w:eastAsia="楷体" w:cs="Times New Roman"/>
          <w:color w:val="auto"/>
          <w:sz w:val="32"/>
          <w:szCs w:val="32"/>
          <w:highlight w:val="none"/>
        </w:rPr>
      </w:pPr>
      <w:bookmarkStart w:id="44" w:name="_Toc1985"/>
      <w:bookmarkStart w:id="45" w:name="_Toc29526"/>
      <w:bookmarkStart w:id="46" w:name="_Toc25459"/>
      <w:bookmarkStart w:id="47" w:name="_Toc19340"/>
      <w:bookmarkStart w:id="48" w:name="_Toc11595"/>
      <w:bookmarkStart w:id="49" w:name="_Toc10551"/>
      <w:bookmarkStart w:id="50" w:name="_Toc2578"/>
      <w:bookmarkStart w:id="51" w:name="_Toc20830"/>
      <w:bookmarkStart w:id="52" w:name="_Toc13621"/>
      <w:bookmarkStart w:id="53" w:name="_Toc26098"/>
      <w:bookmarkStart w:id="54" w:name="_Toc30329"/>
      <w:r>
        <w:rPr>
          <w:rFonts w:hint="eastAsia" w:ascii="楷体" w:hAnsi="楷体" w:eastAsia="楷体" w:cs="Times New Roman"/>
          <w:b/>
          <w:bCs/>
          <w:color w:val="auto"/>
          <w:sz w:val="32"/>
          <w:szCs w:val="32"/>
          <w:highlight w:val="none"/>
        </w:rPr>
        <w:t>（二）部门整体绩效目标设立情况</w:t>
      </w:r>
      <w:bookmarkEnd w:id="44"/>
      <w:bookmarkEnd w:id="45"/>
      <w:bookmarkEnd w:id="46"/>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楷体" w:eastAsia="仿宋_GB2312"/>
          <w:b/>
          <w:bCs w:val="0"/>
          <w:color w:val="auto"/>
          <w:kern w:val="0"/>
          <w:sz w:val="32"/>
          <w:szCs w:val="28"/>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bidi="ar-SA"/>
        </w:rPr>
        <w:t>2024年是中华人民共和国成立75周年，是实现“十四五”规划目标任务的关键一年。</w:t>
      </w:r>
      <w:r>
        <w:rPr>
          <w:rFonts w:hint="eastAsia" w:ascii="仿宋_GB2312" w:hAnsi="楷体" w:eastAsia="仿宋_GB2312"/>
          <w:bCs/>
          <w:color w:val="auto"/>
          <w:kern w:val="0"/>
          <w:sz w:val="32"/>
          <w:szCs w:val="28"/>
          <w:lang w:val="en-US" w:eastAsia="zh-CN"/>
        </w:rPr>
        <w:t>市妇联始终以习近平新时代中国特色社会主义思想为指导，全面贯彻党的二十大和二十届二中全会精神，</w:t>
      </w:r>
      <w:r>
        <w:rPr>
          <w:rFonts w:hint="eastAsia" w:ascii="仿宋_GB2312" w:hAnsi="仿宋_GB2312" w:eastAsia="仿宋_GB2312" w:cs="仿宋_GB2312"/>
          <w:b w:val="0"/>
          <w:bCs w:val="0"/>
          <w:color w:val="auto"/>
          <w:kern w:val="2"/>
          <w:sz w:val="32"/>
          <w:szCs w:val="32"/>
          <w:highlight w:val="none"/>
          <w:u w:val="none"/>
          <w:lang w:val="en-US" w:eastAsia="zh-CN" w:bidi="ar-SA"/>
        </w:rPr>
        <w:t>落实常态化制度建设相关意见</w:t>
      </w:r>
      <w:r>
        <w:rPr>
          <w:rFonts w:hint="eastAsia" w:ascii="仿宋_GB2312" w:hAnsi="楷体" w:eastAsia="仿宋_GB2312"/>
          <w:bCs/>
          <w:color w:val="auto"/>
          <w:kern w:val="0"/>
          <w:sz w:val="32"/>
          <w:szCs w:val="28"/>
          <w:lang w:val="en-US" w:eastAsia="zh-CN"/>
        </w:rPr>
        <w:t>，</w:t>
      </w:r>
      <w:r>
        <w:rPr>
          <w:rFonts w:hint="eastAsia" w:ascii="仿宋_GB2312" w:hAnsi="仿宋_GB2312" w:eastAsia="仿宋_GB2312" w:cs="仿宋_GB2312"/>
          <w:b w:val="0"/>
          <w:bCs w:val="0"/>
          <w:color w:val="auto"/>
          <w:kern w:val="2"/>
          <w:sz w:val="32"/>
          <w:szCs w:val="32"/>
          <w:highlight w:val="none"/>
          <w:u w:val="none"/>
          <w:lang w:val="en-US" w:eastAsia="zh-CN" w:bidi="ar-SA"/>
        </w:rPr>
        <w:t>及时跟进学习习近平总书记重要讲话重要指示批示精神，确保思想和行动同党中央高度一致。坚定维护妇女领域政治安全和意识形态安全，加强组织队伍建设，广泛团结凝聚党派团体力量，加强对新社会阶层女性引领联系。持续深化“科技创新巾帼行动”“家庭服务巾帼行动”，</w:t>
      </w:r>
      <w:r>
        <w:rPr>
          <w:rFonts w:hint="eastAsia" w:ascii="仿宋_GB2312" w:hAnsi="仿宋_GB2312" w:eastAsia="仿宋_GB2312" w:cs="仿宋_GB2312"/>
          <w:b w:val="0"/>
          <w:bCs w:val="0"/>
          <w:color w:val="auto"/>
          <w:sz w:val="32"/>
          <w:szCs w:val="32"/>
          <w:highlight w:val="none"/>
          <w:u w:val="none"/>
          <w:lang w:val="en-US" w:eastAsia="zh-CN"/>
        </w:rPr>
        <w:t>全力推动“十四五”妇儿规划落实，研究启动“十五五”妇儿规划编制工作，持续</w:t>
      </w:r>
      <w:r>
        <w:rPr>
          <w:rFonts w:hint="eastAsia" w:ascii="仿宋_GB2312" w:hAnsi="仿宋_GB2312" w:eastAsia="仿宋_GB2312" w:cs="仿宋_GB2312"/>
          <w:b w:val="0"/>
          <w:bCs w:val="0"/>
          <w:color w:val="auto"/>
          <w:kern w:val="2"/>
          <w:sz w:val="32"/>
          <w:szCs w:val="32"/>
          <w:highlight w:val="none"/>
          <w:u w:val="none"/>
          <w:lang w:val="en-US" w:eastAsia="zh-CN" w:bidi="ar-SA"/>
        </w:rPr>
        <w:t>提供妇女儿童关爱支持服务</w:t>
      </w:r>
      <w:r>
        <w:rPr>
          <w:rFonts w:hint="eastAsia" w:ascii="仿宋_GB2312" w:hAnsi="仿宋_GB2312" w:eastAsia="仿宋_GB2312" w:cs="仿宋_GB2312"/>
          <w:b w:val="0"/>
          <w:bCs w:val="0"/>
          <w:color w:val="auto"/>
          <w:sz w:val="32"/>
          <w:szCs w:val="32"/>
          <w:highlight w:val="none"/>
          <w:u w:val="none"/>
          <w:lang w:val="en-US" w:eastAsia="zh-CN"/>
        </w:rPr>
        <w:t>，推动妇女儿童关爱工作朝着经常化、集中化、规范化方向发展，通过宣传引领，</w:t>
      </w:r>
      <w:r>
        <w:rPr>
          <w:rFonts w:hint="eastAsia" w:ascii="仿宋_GB2312" w:hAnsi="仿宋_GB2312" w:eastAsia="仿宋_GB2312" w:cs="仿宋_GB2312"/>
          <w:b w:val="0"/>
          <w:bCs w:val="0"/>
          <w:color w:val="auto"/>
          <w:kern w:val="2"/>
          <w:sz w:val="32"/>
          <w:szCs w:val="32"/>
          <w:highlight w:val="none"/>
          <w:u w:val="none"/>
          <w:lang w:val="en-US" w:eastAsia="zh-CN" w:bidi="ar-SA"/>
        </w:rPr>
        <w:t>引导树立良好的社会共识，让妇女儿童真切感受到社会的温暖和关怀。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202</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rPr>
        <w:t>年，市妇联设定</w:t>
      </w:r>
      <w:r>
        <w:rPr>
          <w:rFonts w:hint="eastAsia" w:ascii="仿宋_GB2312" w:hAnsi="楷体" w:eastAsia="仿宋_GB2312"/>
          <w:bCs/>
          <w:color w:val="auto"/>
          <w:kern w:val="0"/>
          <w:sz w:val="32"/>
          <w:szCs w:val="28"/>
          <w:lang w:val="en-US" w:eastAsia="zh-CN"/>
        </w:rPr>
        <w:t>的</w:t>
      </w:r>
      <w:r>
        <w:rPr>
          <w:rFonts w:hint="eastAsia" w:ascii="仿宋_GB2312" w:hAnsi="楷体" w:eastAsia="仿宋_GB2312"/>
          <w:bCs/>
          <w:color w:val="auto"/>
          <w:kern w:val="0"/>
          <w:sz w:val="32"/>
          <w:szCs w:val="28"/>
        </w:rPr>
        <w:t>部门整体绩效目标</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严格遵循</w:t>
      </w:r>
      <w:r>
        <w:rPr>
          <w:rFonts w:hint="eastAsia" w:ascii="仿宋_GB2312" w:hAnsi="楷体" w:eastAsia="仿宋_GB2312"/>
          <w:bCs/>
          <w:color w:val="auto"/>
          <w:kern w:val="0"/>
          <w:sz w:val="32"/>
          <w:szCs w:val="28"/>
        </w:rPr>
        <w:t>国家法律法规</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并紧密契合</w:t>
      </w:r>
      <w:r>
        <w:rPr>
          <w:rFonts w:hint="eastAsia" w:ascii="仿宋_GB2312" w:hAnsi="楷体" w:eastAsia="仿宋_GB2312"/>
          <w:bCs/>
          <w:color w:val="auto"/>
          <w:kern w:val="0"/>
          <w:sz w:val="32"/>
          <w:szCs w:val="28"/>
        </w:rPr>
        <w:t>北京市国民经济和社会发展总体规划，围绕单位职能职责，符合部门中长期</w:t>
      </w:r>
      <w:r>
        <w:rPr>
          <w:rFonts w:hint="eastAsia" w:ascii="仿宋_GB2312" w:hAnsi="楷体" w:eastAsia="仿宋_GB2312"/>
          <w:bCs/>
          <w:color w:val="auto"/>
          <w:kern w:val="0"/>
          <w:sz w:val="32"/>
          <w:szCs w:val="28"/>
          <w:lang w:val="en-US" w:eastAsia="zh-CN"/>
        </w:rPr>
        <w:t>发展</w:t>
      </w:r>
      <w:r>
        <w:rPr>
          <w:rFonts w:hint="eastAsia" w:ascii="仿宋_GB2312" w:hAnsi="楷体" w:eastAsia="仿宋_GB2312"/>
          <w:bCs/>
          <w:color w:val="auto"/>
          <w:kern w:val="0"/>
          <w:sz w:val="32"/>
          <w:szCs w:val="28"/>
        </w:rPr>
        <w:t>规划。部门整体绩效目标符合客观实际，</w:t>
      </w:r>
      <w:r>
        <w:rPr>
          <w:rFonts w:hint="eastAsia" w:ascii="仿宋_GB2312" w:hAnsi="楷体" w:eastAsia="仿宋_GB2312"/>
          <w:bCs/>
          <w:color w:val="auto"/>
          <w:kern w:val="0"/>
          <w:sz w:val="32"/>
          <w:szCs w:val="28"/>
          <w:lang w:val="en-US" w:eastAsia="zh-CN"/>
        </w:rPr>
        <w:t>不仅</w:t>
      </w:r>
      <w:r>
        <w:rPr>
          <w:rFonts w:hint="eastAsia" w:ascii="仿宋_GB2312" w:hAnsi="楷体" w:eastAsia="仿宋_GB2312"/>
          <w:bCs/>
          <w:color w:val="auto"/>
          <w:kern w:val="0"/>
          <w:sz w:val="32"/>
          <w:szCs w:val="28"/>
        </w:rPr>
        <w:t>结合</w:t>
      </w:r>
      <w:r>
        <w:rPr>
          <w:rFonts w:hint="eastAsia" w:ascii="仿宋_GB2312" w:hAnsi="楷体" w:eastAsia="仿宋_GB2312"/>
          <w:bCs/>
          <w:color w:val="auto"/>
          <w:kern w:val="0"/>
          <w:sz w:val="32"/>
          <w:szCs w:val="28"/>
          <w:lang w:val="en-US" w:eastAsia="zh-CN"/>
        </w:rPr>
        <w:t>了</w:t>
      </w:r>
      <w:r>
        <w:rPr>
          <w:rFonts w:hint="eastAsia" w:ascii="仿宋_GB2312" w:hAnsi="楷体" w:eastAsia="仿宋_GB2312"/>
          <w:bCs/>
          <w:color w:val="auto"/>
          <w:kern w:val="0"/>
          <w:sz w:val="32"/>
          <w:szCs w:val="28"/>
        </w:rPr>
        <w:t>年度工作任务，</w:t>
      </w:r>
      <w:r>
        <w:rPr>
          <w:rFonts w:hint="eastAsia" w:ascii="仿宋_GB2312" w:hAnsi="楷体" w:eastAsia="仿宋_GB2312"/>
          <w:bCs/>
          <w:color w:val="auto"/>
          <w:kern w:val="0"/>
          <w:sz w:val="32"/>
          <w:szCs w:val="28"/>
          <w:lang w:val="en-US" w:eastAsia="zh-CN"/>
        </w:rPr>
        <w:t>充分</w:t>
      </w:r>
      <w:r>
        <w:rPr>
          <w:rFonts w:hint="eastAsia" w:ascii="仿宋_GB2312" w:hAnsi="楷体" w:eastAsia="仿宋_GB2312"/>
          <w:bCs/>
          <w:color w:val="auto"/>
          <w:kern w:val="0"/>
          <w:sz w:val="32"/>
          <w:szCs w:val="28"/>
        </w:rPr>
        <w:t>体现了单位履职范围内的常规工作任务，突出</w:t>
      </w:r>
      <w:r>
        <w:rPr>
          <w:rFonts w:hint="eastAsia" w:ascii="仿宋_GB2312" w:hAnsi="楷体" w:eastAsia="仿宋_GB2312"/>
          <w:bCs/>
          <w:color w:val="auto"/>
          <w:kern w:val="0"/>
          <w:sz w:val="32"/>
          <w:szCs w:val="28"/>
          <w:lang w:val="en-US" w:eastAsia="zh-CN"/>
        </w:rPr>
        <w:t>了</w:t>
      </w:r>
      <w:r>
        <w:rPr>
          <w:rFonts w:hint="eastAsia" w:ascii="仿宋_GB2312" w:hAnsi="楷体" w:eastAsia="仿宋_GB2312"/>
          <w:bCs/>
          <w:color w:val="auto"/>
          <w:kern w:val="0"/>
          <w:sz w:val="32"/>
          <w:szCs w:val="28"/>
        </w:rPr>
        <w:t>年度特殊</w:t>
      </w:r>
      <w:r>
        <w:rPr>
          <w:rFonts w:hint="eastAsia" w:ascii="仿宋_GB2312" w:hAnsi="楷体" w:eastAsia="仿宋_GB2312"/>
          <w:bCs/>
          <w:color w:val="auto"/>
          <w:kern w:val="0"/>
          <w:sz w:val="32"/>
          <w:szCs w:val="28"/>
          <w:lang w:val="en-US" w:eastAsia="zh-CN"/>
        </w:rPr>
        <w:t>背景下</w:t>
      </w:r>
      <w:r>
        <w:rPr>
          <w:rFonts w:hint="eastAsia" w:ascii="仿宋_GB2312" w:hAnsi="楷体" w:eastAsia="仿宋_GB2312"/>
          <w:bCs/>
          <w:color w:val="auto"/>
          <w:kern w:val="0"/>
          <w:sz w:val="32"/>
          <w:szCs w:val="28"/>
        </w:rPr>
        <w:t>新增重点工作</w:t>
      </w:r>
      <w:r>
        <w:rPr>
          <w:rFonts w:hint="eastAsia" w:ascii="仿宋_GB2312" w:hAnsi="楷体" w:eastAsia="仿宋_GB2312"/>
          <w:bCs/>
          <w:color w:val="auto"/>
          <w:kern w:val="0"/>
          <w:sz w:val="32"/>
          <w:szCs w:val="28"/>
          <w:lang w:eastAsia="zh-CN"/>
        </w:rPr>
        <w:t>的</w:t>
      </w:r>
      <w:r>
        <w:rPr>
          <w:rFonts w:hint="eastAsia" w:ascii="仿宋_GB2312" w:hAnsi="楷体" w:eastAsia="仿宋_GB2312"/>
          <w:bCs/>
          <w:color w:val="auto"/>
          <w:kern w:val="0"/>
          <w:sz w:val="32"/>
          <w:szCs w:val="28"/>
        </w:rPr>
        <w:t>内容。具体指标设置情况见下表：</w:t>
      </w:r>
    </w:p>
    <w:p>
      <w:pPr>
        <w:widowControl/>
        <w:jc w:val="center"/>
        <w:textAlignment w:val="center"/>
        <w:rPr>
          <w:rFonts w:hint="eastAsia" w:ascii="宋体" w:hAnsi="宋体" w:cs="宋体"/>
          <w:b/>
          <w:bCs/>
          <w:color w:val="auto"/>
          <w:kern w:val="0"/>
          <w:sz w:val="32"/>
          <w:szCs w:val="32"/>
        </w:rPr>
        <w:sectPr>
          <w:footerReference r:id="rId10" w:type="first"/>
          <w:footerReference r:id="rId9" w:type="default"/>
          <w:pgSz w:w="11906" w:h="16838"/>
          <w:pgMar w:top="1440" w:right="1800" w:bottom="1440" w:left="1800" w:header="851" w:footer="992" w:gutter="0"/>
          <w:pgNumType w:fmt="decimal" w:start="1"/>
          <w:cols w:space="425" w:num="1"/>
          <w:titlePg/>
          <w:docGrid w:type="lines" w:linePitch="312" w:charSpace="0"/>
        </w:sectPr>
      </w:pPr>
    </w:p>
    <w:tbl>
      <w:tblPr>
        <w:tblStyle w:val="22"/>
        <w:tblW w:w="9831" w:type="dxa"/>
        <w:jc w:val="center"/>
        <w:tblInd w:w="0" w:type="dxa"/>
        <w:tblLayout w:type="fixed"/>
        <w:tblCellMar>
          <w:top w:w="0" w:type="dxa"/>
          <w:left w:w="108" w:type="dxa"/>
          <w:bottom w:w="0" w:type="dxa"/>
          <w:right w:w="108" w:type="dxa"/>
        </w:tblCellMar>
      </w:tblPr>
      <w:tblGrid>
        <w:gridCol w:w="477"/>
        <w:gridCol w:w="1040"/>
        <w:gridCol w:w="1650"/>
        <w:gridCol w:w="1693"/>
        <w:gridCol w:w="1510"/>
        <w:gridCol w:w="1532"/>
        <w:gridCol w:w="535"/>
        <w:gridCol w:w="665"/>
        <w:gridCol w:w="729"/>
      </w:tblGrid>
      <w:tr>
        <w:tblPrEx>
          <w:tblLayout w:type="fixed"/>
          <w:tblCellMar>
            <w:top w:w="0" w:type="dxa"/>
            <w:left w:w="108" w:type="dxa"/>
            <w:bottom w:w="0" w:type="dxa"/>
            <w:right w:w="108" w:type="dxa"/>
          </w:tblCellMar>
        </w:tblPrEx>
        <w:trPr>
          <w:trHeight w:val="456" w:hRule="atLeast"/>
          <w:jc w:val="center"/>
        </w:trPr>
        <w:tc>
          <w:tcPr>
            <w:tcW w:w="9831"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pPr>
              <w:widowControl/>
              <w:jc w:val="center"/>
              <w:textAlignment w:val="center"/>
              <w:rPr>
                <w:rFonts w:ascii="宋体" w:hAnsi="宋体" w:cs="宋体"/>
                <w:b/>
                <w:bCs/>
                <w:color w:val="auto"/>
                <w:sz w:val="32"/>
                <w:szCs w:val="32"/>
              </w:rPr>
            </w:pPr>
            <w:r>
              <w:rPr>
                <w:rFonts w:hint="eastAsia" w:ascii="宋体" w:hAnsi="宋体" w:cs="宋体"/>
                <w:b/>
                <w:bCs/>
                <w:color w:val="auto"/>
                <w:kern w:val="0"/>
                <w:sz w:val="32"/>
                <w:szCs w:val="32"/>
              </w:rPr>
              <w:t>部门整体支出绩效目标申报表</w:t>
            </w:r>
          </w:p>
        </w:tc>
      </w:tr>
      <w:tr>
        <w:tblPrEx>
          <w:tblLayout w:type="fixed"/>
          <w:tblCellMar>
            <w:top w:w="0" w:type="dxa"/>
            <w:left w:w="108" w:type="dxa"/>
            <w:bottom w:w="0" w:type="dxa"/>
            <w:right w:w="108" w:type="dxa"/>
          </w:tblCellMar>
        </w:tblPrEx>
        <w:trPr>
          <w:trHeight w:val="456" w:hRule="atLeast"/>
          <w:jc w:val="center"/>
        </w:trPr>
        <w:tc>
          <w:tcPr>
            <w:tcW w:w="9831" w:type="dxa"/>
            <w:gridSpan w:val="9"/>
            <w:tcBorders>
              <w:top w:val="single" w:color="FFFFFF" w:sz="4" w:space="0"/>
              <w:left w:val="single" w:color="FFFFFF" w:sz="4" w:space="0"/>
              <w:bottom w:val="single" w:color="auto" w:sz="4" w:space="0"/>
              <w:right w:val="single" w:color="FFFFFF"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（202</w:t>
            </w:r>
            <w:r>
              <w:rPr>
                <w:rFonts w:hint="eastAsia" w:ascii="宋体" w:hAnsi="宋体" w:cs="宋体"/>
                <w:color w:val="auto"/>
                <w:kern w:val="0"/>
                <w:szCs w:val="21"/>
                <w:lang w:val="en-US" w:eastAsia="zh-CN"/>
              </w:rPr>
              <w:t>4</w:t>
            </w:r>
            <w:r>
              <w:rPr>
                <w:rFonts w:hint="eastAsia" w:ascii="宋体" w:hAnsi="宋体" w:cs="宋体"/>
                <w:color w:val="auto"/>
                <w:kern w:val="0"/>
                <w:szCs w:val="21"/>
              </w:rPr>
              <w:t>年度）</w:t>
            </w:r>
          </w:p>
        </w:tc>
      </w:tr>
      <w:tr>
        <w:tblPrEx>
          <w:tblLayout w:type="fixed"/>
          <w:tblCellMar>
            <w:top w:w="0" w:type="dxa"/>
            <w:left w:w="108" w:type="dxa"/>
            <w:bottom w:w="0" w:type="dxa"/>
            <w:right w:w="108" w:type="dxa"/>
          </w:tblCellMar>
        </w:tblPrEx>
        <w:trPr>
          <w:trHeight w:val="436" w:hRule="atLeast"/>
          <w:jc w:val="center"/>
        </w:trPr>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部门（单位）名称</w:t>
            </w:r>
          </w:p>
        </w:tc>
        <w:tc>
          <w:tcPr>
            <w:tcW w:w="83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北京市妇女联合会</w:t>
            </w:r>
          </w:p>
        </w:tc>
      </w:tr>
      <w:tr>
        <w:tblPrEx>
          <w:tblLayout w:type="fixed"/>
          <w:tblCellMar>
            <w:top w:w="0" w:type="dxa"/>
            <w:left w:w="108" w:type="dxa"/>
            <w:bottom w:w="0" w:type="dxa"/>
            <w:right w:w="108" w:type="dxa"/>
          </w:tblCellMar>
        </w:tblPrEx>
        <w:trPr>
          <w:trHeight w:val="311" w:hRule="atLeast"/>
          <w:jc w:val="center"/>
        </w:trPr>
        <w:tc>
          <w:tcPr>
            <w:tcW w:w="15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总体资金情况</w:t>
            </w:r>
          </w:p>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（万元）</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预算支出总额</w:t>
            </w:r>
          </w:p>
        </w:tc>
        <w:tc>
          <w:tcPr>
            <w:tcW w:w="4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财政拨款</w:t>
            </w:r>
          </w:p>
        </w:tc>
        <w:tc>
          <w:tcPr>
            <w:tcW w:w="1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其他资金</w:t>
            </w:r>
          </w:p>
        </w:tc>
      </w:tr>
      <w:tr>
        <w:tblPrEx>
          <w:tblLayout w:type="fixed"/>
          <w:tblCellMar>
            <w:top w:w="0" w:type="dxa"/>
            <w:left w:w="108" w:type="dxa"/>
            <w:bottom w:w="0" w:type="dxa"/>
            <w:right w:w="108" w:type="dxa"/>
          </w:tblCellMar>
        </w:tblPrEx>
        <w:trPr>
          <w:trHeight w:val="171" w:hRule="atLeast"/>
          <w:jc w:val="center"/>
        </w:trPr>
        <w:tc>
          <w:tcPr>
            <w:tcW w:w="15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合计</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基本支出</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项目支出</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合计</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基本支出</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项目支出</w:t>
            </w:r>
          </w:p>
        </w:tc>
      </w:tr>
      <w:tr>
        <w:tblPrEx>
          <w:tblLayout w:type="fixed"/>
          <w:tblCellMar>
            <w:top w:w="0" w:type="dxa"/>
            <w:left w:w="108" w:type="dxa"/>
            <w:bottom w:w="0" w:type="dxa"/>
            <w:right w:w="108" w:type="dxa"/>
          </w:tblCellMar>
        </w:tblPrEx>
        <w:trPr>
          <w:trHeight w:val="331" w:hRule="atLeast"/>
          <w:jc w:val="center"/>
        </w:trPr>
        <w:tc>
          <w:tcPr>
            <w:tcW w:w="15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9</w:t>
            </w:r>
            <w:r>
              <w:rPr>
                <w:rFonts w:hint="eastAsia" w:ascii="仿宋_GB2312" w:hAnsi="仿宋_GB2312" w:eastAsia="仿宋_GB2312" w:cs="仿宋_GB2312"/>
                <w:color w:val="auto"/>
                <w:kern w:val="0"/>
                <w:szCs w:val="21"/>
                <w:lang w:val="en-US" w:eastAsia="zh-CN"/>
              </w:rPr>
              <w:t>,</w:t>
            </w:r>
            <w:r>
              <w:rPr>
                <w:rFonts w:hint="eastAsia" w:ascii="仿宋_GB2312" w:hAnsi="仿宋_GB2312" w:eastAsia="仿宋_GB2312" w:cs="仿宋_GB2312"/>
                <w:color w:val="auto"/>
                <w:kern w:val="0"/>
                <w:szCs w:val="21"/>
              </w:rPr>
              <w:t>155</w:t>
            </w:r>
            <w:r>
              <w:rPr>
                <w:rFonts w:hint="eastAsia" w:ascii="仿宋_GB2312" w:hAnsi="仿宋_GB2312" w:eastAsia="仿宋_GB2312" w:cs="仿宋_GB2312"/>
                <w:color w:val="auto"/>
                <w:kern w:val="0"/>
                <w:szCs w:val="21"/>
                <w:lang w:val="en-US" w:eastAsia="zh-CN"/>
              </w:rPr>
              <w:t>.</w:t>
            </w:r>
            <w:r>
              <w:rPr>
                <w:rFonts w:hint="eastAsia" w:ascii="仿宋_GB2312" w:hAnsi="仿宋_GB2312" w:eastAsia="仿宋_GB2312" w:cs="仿宋_GB2312"/>
                <w:color w:val="auto"/>
                <w:kern w:val="0"/>
                <w:szCs w:val="21"/>
              </w:rPr>
              <w:t>8439771</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155</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843977</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rPr>
              <w:t>993.84511</w:t>
            </w:r>
            <w:r>
              <w:rPr>
                <w:rFonts w:hint="eastAsia" w:ascii="仿宋_GB2312" w:hAnsi="仿宋_GB2312" w:eastAsia="仿宋_GB2312" w:cs="仿宋_GB2312"/>
                <w:color w:val="auto"/>
                <w:szCs w:val="21"/>
                <w:lang w:val="en-US" w:eastAsia="zh-CN"/>
              </w:rPr>
              <w:t>0</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3,161.998867</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color w:val="auto"/>
                <w:szCs w:val="21"/>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color w:val="auto"/>
                <w:szCs w:val="21"/>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hAnsi="仿宋_GB2312" w:eastAsia="仿宋_GB2312" w:cs="仿宋_GB2312"/>
                <w:color w:val="auto"/>
                <w:szCs w:val="21"/>
              </w:rPr>
            </w:pPr>
          </w:p>
        </w:tc>
      </w:tr>
      <w:tr>
        <w:tblPrEx>
          <w:tblLayout w:type="fixed"/>
          <w:tblCellMar>
            <w:top w:w="0" w:type="dxa"/>
            <w:left w:w="108" w:type="dxa"/>
            <w:bottom w:w="0" w:type="dxa"/>
            <w:right w:w="108" w:type="dxa"/>
          </w:tblCellMar>
        </w:tblPrEx>
        <w:trPr>
          <w:trHeight w:val="701" w:hRule="atLeast"/>
          <w:jc w:val="center"/>
        </w:trPr>
        <w:tc>
          <w:tcPr>
            <w:tcW w:w="477"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整体绩效目标</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整体绩效目标</w:t>
            </w:r>
          </w:p>
        </w:tc>
        <w:tc>
          <w:tcPr>
            <w:tcW w:w="83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以习近平新时代中国特色社会主义思想为指导，深入学习贯彻党的十九大、二十大精神，深入贯彻落实习近平总书记对北京一系列重要讲话精神以及关于妇女和妇女工作、妇联改革、家庭家教家风建设重要论述精神，完整、准确、全面贯彻新发展理念，坚持以新时代首都发展为统领，围绕中心、服务大局，强化引领服务联系，以首善标准推进首都高质量发展发挥半边天作用。</w:t>
            </w:r>
          </w:p>
          <w:p>
            <w:pPr>
              <w:widowControl/>
              <w:ind w:firstLine="420" w:firstLineChars="20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一是团结引领广大妇女更加坚定听党话跟党走。</w:t>
            </w:r>
          </w:p>
          <w:p>
            <w:pPr>
              <w:widowControl/>
              <w:ind w:firstLine="420" w:firstLineChars="20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二是以“巾帼心向党建功新时代”为主题，团结带领广大妇女在新时代首都发展中发挥“半边天”作用。</w:t>
            </w:r>
          </w:p>
          <w:p>
            <w:pPr>
              <w:widowControl/>
              <w:ind w:firstLine="420" w:firstLineChars="20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三是以践行社会主义核心价值观为统领，在更高水平上加强家庭家教家风建设。常态化开展寻找“首都最美家庭”活动，引领广大妇女并带动家庭参与家庭文明建设。</w:t>
            </w:r>
          </w:p>
          <w:p>
            <w:pPr>
              <w:widowControl/>
              <w:ind w:firstLine="420" w:firstLineChars="200"/>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四是以做深做实维权关爱服务为抓手，切实把维权工作做在平常、抓在经常、落到基层。落实好党政主导的妇女权益维护五项机制，重点做好发现报告、联防联动、关爱服务、舆情应对以及工作监督，坚决守牢涉妇女儿童领域政治安全底线。</w:t>
            </w:r>
          </w:p>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五是以深化妇联改革和建设为目标，不断增强妇联工作和妇联组织政治性</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先进性</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群众性。</w:t>
            </w:r>
          </w:p>
        </w:tc>
      </w:tr>
      <w:tr>
        <w:tblPrEx>
          <w:tblLayout w:type="fixed"/>
          <w:tblCellMar>
            <w:top w:w="0" w:type="dxa"/>
            <w:left w:w="108" w:type="dxa"/>
            <w:bottom w:w="0" w:type="dxa"/>
            <w:right w:w="108" w:type="dxa"/>
          </w:tblCellMar>
        </w:tblPrEx>
        <w:trPr>
          <w:trHeight w:val="294"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其他</w:t>
            </w:r>
          </w:p>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说明</w:t>
            </w:r>
          </w:p>
        </w:tc>
        <w:tc>
          <w:tcPr>
            <w:tcW w:w="83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szCs w:val="21"/>
              </w:rPr>
            </w:pPr>
          </w:p>
        </w:tc>
      </w:tr>
      <w:tr>
        <w:tblPrEx>
          <w:tblLayout w:type="fixed"/>
          <w:tblCellMar>
            <w:top w:w="0" w:type="dxa"/>
            <w:left w:w="108" w:type="dxa"/>
            <w:bottom w:w="0" w:type="dxa"/>
            <w:right w:w="108" w:type="dxa"/>
          </w:tblCellMar>
        </w:tblPrEx>
        <w:trPr>
          <w:trHeight w:val="331"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kern w:val="0"/>
                <w:szCs w:val="21"/>
                <w:highlight w:val="none"/>
              </w:rPr>
              <w:t>活动</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kern w:val="0"/>
                <w:szCs w:val="21"/>
                <w:highlight w:val="none"/>
              </w:rPr>
              <w:t>绩效指标</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kern w:val="0"/>
                <w:szCs w:val="21"/>
                <w:highlight w:val="none"/>
              </w:rPr>
              <w:t>指标性质</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kern w:val="0"/>
                <w:szCs w:val="21"/>
                <w:highlight w:val="none"/>
              </w:rPr>
              <w:t>指标值</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kern w:val="0"/>
                <w:szCs w:val="21"/>
                <w:highlight w:val="none"/>
              </w:rPr>
              <w:t>度量单位</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产出指标数量指标</w:t>
            </w:r>
            <w:r>
              <w:rPr>
                <w:rFonts w:hint="eastAsia" w:ascii="仿宋_GB2312" w:hAnsi="仿宋_GB2312" w:eastAsia="仿宋_GB2312" w:cs="仿宋_GB2312"/>
                <w:color w:val="auto"/>
                <w:sz w:val="21"/>
                <w:szCs w:val="21"/>
              </w:rPr>
              <w:t>拍摄制作新蕊微视频</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个</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产出指标数量指标</w:t>
            </w:r>
            <w:r>
              <w:rPr>
                <w:rFonts w:hint="eastAsia" w:ascii="仿宋_GB2312" w:hAnsi="仿宋_GB2312" w:eastAsia="仿宋_GB2312" w:cs="仿宋_GB2312"/>
                <w:color w:val="auto"/>
                <w:sz w:val="21"/>
                <w:szCs w:val="21"/>
              </w:rPr>
              <w:t>微博微信等运维</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520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次</w:t>
            </w:r>
          </w:p>
        </w:tc>
      </w:tr>
      <w:tr>
        <w:tblPrEx>
          <w:tblLayout w:type="fixed"/>
          <w:tblCellMar>
            <w:top w:w="0" w:type="dxa"/>
            <w:left w:w="108" w:type="dxa"/>
            <w:bottom w:w="0" w:type="dxa"/>
            <w:right w:w="108" w:type="dxa"/>
          </w:tblCellMar>
        </w:tblPrEx>
        <w:trPr>
          <w:trHeight w:val="759"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基层组织建设与服务</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产出指标数量指标</w:t>
            </w:r>
            <w:r>
              <w:rPr>
                <w:rFonts w:hint="eastAsia" w:ascii="仿宋_GB2312" w:hAnsi="仿宋_GB2312" w:eastAsia="仿宋_GB2312" w:cs="仿宋_GB2312"/>
                <w:color w:val="auto"/>
                <w:sz w:val="21"/>
                <w:szCs w:val="21"/>
              </w:rPr>
              <w:t>妇女代表联系制活动</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场</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基层组织建设与服务</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产出指标数量指标</w:t>
            </w:r>
            <w:r>
              <w:rPr>
                <w:rFonts w:hint="eastAsia" w:ascii="仿宋_GB2312" w:hAnsi="仿宋_GB2312" w:eastAsia="仿宋_GB2312" w:cs="仿宋_GB2312"/>
                <w:color w:val="auto"/>
                <w:sz w:val="21"/>
                <w:szCs w:val="21"/>
              </w:rPr>
              <w:t>妇联组织建设领域</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次</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妇女维权及市妇儿规划编制实施督导</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产出指标数量指标</w:t>
            </w:r>
            <w:r>
              <w:rPr>
                <w:rFonts w:hint="eastAsia" w:ascii="仿宋_GB2312" w:hAnsi="仿宋_GB2312" w:eastAsia="仿宋_GB2312" w:cs="仿宋_GB2312"/>
                <w:color w:val="auto"/>
                <w:sz w:val="21"/>
                <w:szCs w:val="21"/>
              </w:rPr>
              <w:t>婚姻调解案件数量</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13000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件</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产出指标数量指标</w:t>
            </w:r>
            <w:r>
              <w:rPr>
                <w:rFonts w:hint="eastAsia" w:ascii="仿宋_GB2312" w:hAnsi="仿宋_GB2312" w:eastAsia="仿宋_GB2312" w:cs="仿宋_GB2312"/>
                <w:color w:val="auto"/>
                <w:sz w:val="21"/>
                <w:szCs w:val="21"/>
              </w:rPr>
              <w:t>寻找首都最美家庭线下活动</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场</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产出指标数量指标</w:t>
            </w:r>
            <w:r>
              <w:rPr>
                <w:rFonts w:hint="eastAsia" w:ascii="仿宋_GB2312" w:hAnsi="仿宋_GB2312" w:eastAsia="仿宋_GB2312" w:cs="仿宋_GB2312"/>
                <w:color w:val="auto"/>
                <w:sz w:val="21"/>
                <w:szCs w:val="21"/>
              </w:rPr>
              <w:t>妇女体育文化活动</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场</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产出指标数量指标</w:t>
            </w:r>
            <w:r>
              <w:rPr>
                <w:rFonts w:hint="eastAsia" w:ascii="仿宋_GB2312" w:hAnsi="仿宋_GB2312" w:eastAsia="仿宋_GB2312" w:cs="仿宋_GB2312"/>
                <w:color w:val="auto"/>
                <w:sz w:val="21"/>
                <w:szCs w:val="21"/>
              </w:rPr>
              <w:t>寻找首都最美家庭数量</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350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户</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产出指标数量指标</w:t>
            </w:r>
            <w:r>
              <w:rPr>
                <w:rFonts w:hint="eastAsia" w:ascii="仿宋_GB2312" w:hAnsi="仿宋_GB2312" w:eastAsia="仿宋_GB2312" w:cs="仿宋_GB2312"/>
                <w:color w:val="auto"/>
                <w:sz w:val="21"/>
                <w:szCs w:val="21"/>
              </w:rPr>
              <w:t>宣传报道</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条</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olor w:val="000000"/>
                <w:kern w:val="0"/>
                <w:sz w:val="21"/>
                <w:szCs w:val="21"/>
                <w:u w:val="none"/>
                <w:lang w:val="en-US" w:eastAsia="zh-CN" w:bidi="ar"/>
              </w:rPr>
              <w:t>妇女儿童公益志愿服务</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产出指标质量指标</w:t>
            </w:r>
            <w:r>
              <w:rPr>
                <w:rFonts w:hint="eastAsia" w:ascii="仿宋_GB2312" w:hAnsi="仿宋_GB2312" w:eastAsia="仿宋_GB2312" w:cs="仿宋_GB2312"/>
                <w:color w:val="auto"/>
                <w:sz w:val="21"/>
                <w:szCs w:val="21"/>
                <w:highlight w:val="none"/>
              </w:rPr>
              <w:t>巾帼志愿服务阳光站建设得到提升</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rPr>
            </w:pP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妇女维权及市妇儿规划编制实施督导</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产出指标质量指标男女平等意识不断提高</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产出指标质量指标家庭教育工作体系建设</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妇女儿童公益志愿服务</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产出指标质量指标社会组织能力提升</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效益指标可持续影响指标宣传各类优秀典型</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效益指标可持续影响指标加强妇女思想政治引领</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效益指标可持续影响指标提供家庭教育指导服务</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优</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满意度指标服务对象满意度指标</w:t>
            </w:r>
            <w:r>
              <w:rPr>
                <w:rFonts w:hint="eastAsia" w:ascii="仿宋_GB2312" w:hAnsi="仿宋_GB2312" w:eastAsia="仿宋_GB2312" w:cs="仿宋_GB2312"/>
                <w:i w:val="0"/>
                <w:iCs w:val="0"/>
                <w:color w:val="auto"/>
                <w:kern w:val="0"/>
                <w:sz w:val="21"/>
                <w:szCs w:val="21"/>
                <w:u w:val="none"/>
                <w:lang w:val="en-US" w:eastAsia="zh-CN" w:bidi="ar"/>
              </w:rPr>
              <w:t>参加群众满意度</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90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城乡妇女岗位建功及创业就业</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满意度指标服务对象满意度指标</w:t>
            </w:r>
            <w:r>
              <w:rPr>
                <w:rFonts w:hint="eastAsia" w:ascii="仿宋_GB2312" w:hAnsi="仿宋_GB2312" w:eastAsia="仿宋_GB2312" w:cs="仿宋_GB2312"/>
                <w:i w:val="0"/>
                <w:iCs w:val="0"/>
                <w:color w:val="auto"/>
                <w:kern w:val="0"/>
                <w:sz w:val="21"/>
                <w:szCs w:val="21"/>
                <w:u w:val="none"/>
                <w:lang w:val="en-US" w:eastAsia="zh-CN" w:bidi="ar"/>
              </w:rPr>
              <w:t>受益妇女满意度</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r>
      <w:tr>
        <w:tblPrEx>
          <w:tblLayout w:type="fixed"/>
          <w:tblCellMar>
            <w:top w:w="0" w:type="dxa"/>
            <w:left w:w="108" w:type="dxa"/>
            <w:bottom w:w="0" w:type="dxa"/>
            <w:right w:w="108" w:type="dxa"/>
          </w:tblCellMar>
        </w:tblPrEx>
        <w:trPr>
          <w:trHeight w:val="506" w:hRule="atLeast"/>
          <w:jc w:val="center"/>
        </w:trPr>
        <w:tc>
          <w:tcPr>
            <w:tcW w:w="47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auto"/>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满意度指标服务对象满意度指标</w:t>
            </w:r>
            <w:r>
              <w:rPr>
                <w:rFonts w:hint="eastAsia" w:ascii="仿宋_GB2312" w:hAnsi="仿宋_GB2312" w:eastAsia="仿宋_GB2312" w:cs="仿宋_GB2312"/>
                <w:i w:val="0"/>
                <w:iCs w:val="0"/>
                <w:color w:val="auto"/>
                <w:kern w:val="0"/>
                <w:sz w:val="21"/>
                <w:szCs w:val="21"/>
                <w:u w:val="none"/>
                <w:lang w:val="en-US" w:eastAsia="zh-CN" w:bidi="ar"/>
              </w:rPr>
              <w:t>群众满意度</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w:t>
            </w:r>
          </w:p>
        </w:tc>
      </w:tr>
    </w:tbl>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0"/>
        <w:rPr>
          <w:rFonts w:ascii="黑体" w:hAnsi="黑体" w:eastAsia="黑体" w:cs="宋体"/>
          <w:color w:val="auto"/>
          <w:kern w:val="0"/>
          <w:sz w:val="32"/>
          <w:szCs w:val="32"/>
        </w:rPr>
      </w:pPr>
      <w:bookmarkStart w:id="55" w:name="_Toc16055"/>
      <w:bookmarkStart w:id="56" w:name="_Toc123"/>
      <w:bookmarkStart w:id="57" w:name="_Toc1302"/>
      <w:bookmarkStart w:id="58" w:name="_Toc25537"/>
      <w:bookmarkStart w:id="59" w:name="_Toc942"/>
      <w:bookmarkStart w:id="60" w:name="_Toc20051"/>
      <w:bookmarkStart w:id="61" w:name="_Toc25109"/>
      <w:bookmarkStart w:id="62" w:name="_Toc2924"/>
      <w:bookmarkStart w:id="63" w:name="_Toc22889"/>
      <w:bookmarkStart w:id="64" w:name="_Toc20211"/>
      <w:bookmarkStart w:id="65" w:name="_Toc21449"/>
      <w:r>
        <w:rPr>
          <w:rFonts w:hint="eastAsia" w:ascii="黑体" w:hAnsi="黑体" w:eastAsia="黑体" w:cs="宋体"/>
          <w:color w:val="auto"/>
          <w:kern w:val="0"/>
          <w:sz w:val="32"/>
          <w:szCs w:val="32"/>
        </w:rPr>
        <w:t>二</w:t>
      </w:r>
      <w:r>
        <w:rPr>
          <w:rFonts w:ascii="黑体" w:hAnsi="黑体" w:eastAsia="黑体" w:cs="宋体"/>
          <w:color w:val="auto"/>
          <w:kern w:val="0"/>
          <w:sz w:val="32"/>
          <w:szCs w:val="32"/>
        </w:rPr>
        <w:t>、</w:t>
      </w:r>
      <w:r>
        <w:rPr>
          <w:rFonts w:hint="eastAsia" w:ascii="黑体" w:hAnsi="黑体" w:eastAsia="黑体" w:cs="宋体"/>
          <w:color w:val="auto"/>
          <w:kern w:val="0"/>
          <w:sz w:val="32"/>
          <w:szCs w:val="32"/>
        </w:rPr>
        <w:t>当年</w:t>
      </w:r>
      <w:r>
        <w:rPr>
          <w:rFonts w:ascii="黑体" w:hAnsi="黑体" w:eastAsia="黑体" w:cs="宋体"/>
          <w:color w:val="auto"/>
          <w:kern w:val="0"/>
          <w:sz w:val="32"/>
          <w:szCs w:val="32"/>
        </w:rPr>
        <w:t>预算执行情况</w:t>
      </w:r>
      <w:bookmarkEnd w:id="55"/>
      <w:bookmarkEnd w:id="56"/>
      <w:bookmarkEnd w:id="57"/>
      <w:bookmarkEnd w:id="58"/>
      <w:bookmarkEnd w:id="59"/>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202</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rPr>
        <w:t>年，市财政批复</w:t>
      </w:r>
      <w:r>
        <w:rPr>
          <w:rFonts w:hint="eastAsia" w:ascii="仿宋_GB2312" w:hAnsi="楷体" w:eastAsia="仿宋_GB2312"/>
          <w:bCs/>
          <w:color w:val="auto"/>
          <w:kern w:val="0"/>
          <w:sz w:val="32"/>
          <w:szCs w:val="28"/>
          <w:lang w:val="en-US" w:eastAsia="zh-CN"/>
        </w:rPr>
        <w:t>市妇联</w:t>
      </w:r>
      <w:r>
        <w:rPr>
          <w:rFonts w:hint="eastAsia" w:ascii="仿宋_GB2312" w:hAnsi="楷体" w:eastAsia="仿宋_GB2312"/>
          <w:bCs/>
          <w:color w:val="auto"/>
          <w:kern w:val="0"/>
          <w:sz w:val="32"/>
          <w:szCs w:val="28"/>
        </w:rPr>
        <w:t>部门预算9</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155</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843977万元，其中，基本支出预算5</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993.84511</w:t>
      </w:r>
      <w:r>
        <w:rPr>
          <w:rFonts w:hint="eastAsia" w:ascii="仿宋_GB2312" w:hAnsi="楷体" w:eastAsia="仿宋_GB2312"/>
          <w:bCs/>
          <w:color w:val="auto"/>
          <w:kern w:val="0"/>
          <w:sz w:val="32"/>
          <w:szCs w:val="28"/>
          <w:lang w:val="en-US" w:eastAsia="zh-CN"/>
        </w:rPr>
        <w:t>0</w:t>
      </w:r>
      <w:r>
        <w:rPr>
          <w:rFonts w:hint="eastAsia" w:ascii="仿宋_GB2312" w:hAnsi="楷体" w:eastAsia="仿宋_GB2312"/>
          <w:bCs/>
          <w:color w:val="auto"/>
          <w:kern w:val="0"/>
          <w:sz w:val="32"/>
          <w:szCs w:val="28"/>
        </w:rPr>
        <w:t>万元，项目支出预算</w:t>
      </w:r>
      <w:r>
        <w:rPr>
          <w:rFonts w:hint="eastAsia" w:ascii="仿宋_GB2312" w:hAnsi="楷体" w:eastAsia="仿宋_GB2312"/>
          <w:bCs/>
          <w:color w:val="auto"/>
          <w:kern w:val="0"/>
          <w:sz w:val="32"/>
          <w:szCs w:val="28"/>
          <w:lang w:val="en-US" w:eastAsia="zh-CN"/>
        </w:rPr>
        <w:t>3,161.998867</w:t>
      </w:r>
      <w:r>
        <w:rPr>
          <w:rFonts w:hint="eastAsia" w:ascii="仿宋_GB2312" w:hAnsi="楷体" w:eastAsia="仿宋_GB2312"/>
          <w:bCs/>
          <w:color w:val="auto"/>
          <w:kern w:val="0"/>
          <w:sz w:val="32"/>
          <w:szCs w:val="28"/>
        </w:rPr>
        <w:t>万元。</w:t>
      </w:r>
      <w:r>
        <w:rPr>
          <w:rFonts w:hint="eastAsia" w:ascii="仿宋_GB2312" w:hAnsi="宋体" w:eastAsia="仿宋_GB2312" w:cs="宋体"/>
          <w:b w:val="0"/>
          <w:bCs w:val="0"/>
          <w:color w:val="auto"/>
          <w:kern w:val="0"/>
          <w:sz w:val="32"/>
          <w:szCs w:val="32"/>
          <w:lang w:val="en-US" w:eastAsia="zh-CN"/>
        </w:rPr>
        <w:t>资金总体</w:t>
      </w:r>
      <w:r>
        <w:rPr>
          <w:rFonts w:hint="eastAsia" w:ascii="仿宋_GB2312" w:hAnsi="仿宋_GB2312" w:eastAsia="仿宋_GB2312" w:cs="仿宋_GB2312"/>
          <w:color w:val="auto"/>
          <w:kern w:val="0"/>
          <w:sz w:val="32"/>
          <w:szCs w:val="32"/>
        </w:rPr>
        <w:t>支出8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784.452324</w:t>
      </w:r>
      <w:r>
        <w:rPr>
          <w:rFonts w:hint="eastAsia" w:ascii="仿宋_GB2312" w:hAnsi="楷体" w:eastAsia="仿宋_GB2312"/>
          <w:bCs/>
          <w:color w:val="auto"/>
          <w:kern w:val="0"/>
          <w:sz w:val="32"/>
          <w:szCs w:val="28"/>
        </w:rPr>
        <w:t>万元，其中，基本支出5,793.523995万元，项目支出2,990.928329万元。预算执行率</w:t>
      </w:r>
      <w:r>
        <w:rPr>
          <w:rFonts w:hint="eastAsia" w:ascii="仿宋_GB2312" w:hAnsi="楷体" w:eastAsia="仿宋_GB2312"/>
          <w:bCs/>
          <w:color w:val="auto"/>
          <w:kern w:val="0"/>
          <w:sz w:val="32"/>
          <w:szCs w:val="28"/>
          <w:lang w:val="en-US" w:eastAsia="zh-CN"/>
        </w:rPr>
        <w:t>95.94</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其中，</w:t>
      </w:r>
      <w:r>
        <w:rPr>
          <w:rFonts w:hint="eastAsia" w:ascii="仿宋_GB2312" w:hAnsi="楷体" w:eastAsia="仿宋_GB2312"/>
          <w:bCs/>
          <w:color w:val="auto"/>
          <w:kern w:val="0"/>
          <w:sz w:val="32"/>
          <w:szCs w:val="28"/>
        </w:rPr>
        <w:t>2024年底追加“全市政务协同办公一体化平台采购项目”</w:t>
      </w:r>
      <w:r>
        <w:rPr>
          <w:rFonts w:hint="eastAsia" w:ascii="仿宋_GB2312" w:hAnsi="楷体" w:eastAsia="仿宋_GB2312"/>
          <w:bCs/>
          <w:color w:val="auto"/>
          <w:kern w:val="0"/>
          <w:sz w:val="32"/>
          <w:szCs w:val="28"/>
          <w:lang w:val="en-US" w:eastAsia="zh-CN"/>
        </w:rPr>
        <w:t>预算</w:t>
      </w:r>
      <w:r>
        <w:rPr>
          <w:rFonts w:hint="eastAsia" w:ascii="仿宋_GB2312" w:hAnsi="楷体" w:eastAsia="仿宋_GB2312"/>
          <w:bCs/>
          <w:color w:val="auto"/>
          <w:kern w:val="0"/>
          <w:sz w:val="32"/>
          <w:szCs w:val="28"/>
        </w:rPr>
        <w:t>112.194</w:t>
      </w:r>
      <w:r>
        <w:rPr>
          <w:rFonts w:hint="eastAsia" w:ascii="仿宋_GB2312" w:hAnsi="楷体" w:eastAsia="仿宋_GB2312"/>
          <w:bCs/>
          <w:color w:val="auto"/>
          <w:kern w:val="0"/>
          <w:sz w:val="32"/>
          <w:szCs w:val="28"/>
          <w:lang w:val="en-US" w:eastAsia="zh-CN"/>
        </w:rPr>
        <w:t>0</w:t>
      </w:r>
      <w:r>
        <w:rPr>
          <w:rFonts w:hint="eastAsia" w:ascii="仿宋_GB2312" w:hAnsi="楷体" w:eastAsia="仿宋_GB2312"/>
          <w:bCs/>
          <w:color w:val="auto"/>
          <w:kern w:val="0"/>
          <w:sz w:val="32"/>
          <w:szCs w:val="28"/>
        </w:rPr>
        <w:t>万元，于2025年4月支出92.71万元。</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0"/>
        <w:rPr>
          <w:rFonts w:ascii="黑体" w:hAnsi="黑体" w:eastAsia="黑体" w:cs="宋体"/>
          <w:color w:val="auto"/>
          <w:kern w:val="0"/>
          <w:sz w:val="32"/>
          <w:szCs w:val="32"/>
        </w:rPr>
      </w:pPr>
      <w:bookmarkStart w:id="66" w:name="_Toc24757"/>
      <w:bookmarkStart w:id="67" w:name="_Toc19666"/>
      <w:bookmarkStart w:id="68" w:name="_Toc29744"/>
      <w:bookmarkStart w:id="69" w:name="_Toc24462"/>
      <w:bookmarkStart w:id="70" w:name="_Toc7211"/>
      <w:bookmarkStart w:id="71" w:name="_Toc31831"/>
      <w:bookmarkStart w:id="72" w:name="_Toc25046"/>
      <w:bookmarkStart w:id="73" w:name="_Toc31997"/>
      <w:bookmarkStart w:id="74" w:name="_Toc11002"/>
      <w:bookmarkStart w:id="75" w:name="_Toc5231"/>
      <w:bookmarkStart w:id="76" w:name="_Toc13421"/>
      <w:r>
        <w:rPr>
          <w:rFonts w:hint="eastAsia" w:ascii="黑体" w:hAnsi="黑体" w:eastAsia="黑体" w:cs="宋体"/>
          <w:color w:val="auto"/>
          <w:kern w:val="0"/>
          <w:sz w:val="32"/>
          <w:szCs w:val="32"/>
        </w:rPr>
        <w:t>三</w:t>
      </w:r>
      <w:r>
        <w:rPr>
          <w:rFonts w:ascii="黑体" w:hAnsi="黑体" w:eastAsia="黑体" w:cs="宋体"/>
          <w:color w:val="auto"/>
          <w:kern w:val="0"/>
          <w:sz w:val="32"/>
          <w:szCs w:val="32"/>
        </w:rPr>
        <w:t>、整体绩效目标实现情况</w:t>
      </w:r>
      <w:bookmarkEnd w:id="66"/>
      <w:bookmarkEnd w:id="67"/>
      <w:bookmarkEnd w:id="68"/>
      <w:bookmarkEnd w:id="69"/>
      <w:bookmarkEnd w:id="70"/>
      <w:bookmarkEnd w:id="71"/>
      <w:bookmarkEnd w:id="72"/>
      <w:bookmarkEnd w:id="73"/>
      <w:bookmarkEnd w:id="74"/>
      <w:bookmarkEnd w:id="75"/>
      <w:bookmarkEnd w:id="76"/>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1"/>
        <w:rPr>
          <w:rFonts w:ascii="楷体" w:hAnsi="楷体" w:eastAsia="楷体"/>
          <w:b/>
          <w:bCs/>
          <w:color w:val="auto"/>
          <w:sz w:val="32"/>
          <w:szCs w:val="32"/>
        </w:rPr>
      </w:pPr>
      <w:bookmarkStart w:id="77" w:name="_Toc27204"/>
      <w:bookmarkStart w:id="78" w:name="_Toc16282"/>
      <w:bookmarkStart w:id="79" w:name="_Toc6388"/>
      <w:bookmarkStart w:id="80" w:name="_Toc29690"/>
      <w:bookmarkStart w:id="81" w:name="_Toc5178"/>
      <w:bookmarkStart w:id="82" w:name="_Toc1564"/>
      <w:bookmarkStart w:id="83" w:name="_Toc1874"/>
      <w:bookmarkStart w:id="84" w:name="_Toc21716"/>
      <w:bookmarkStart w:id="85" w:name="_Toc15802"/>
      <w:bookmarkStart w:id="86" w:name="_Toc15468"/>
      <w:bookmarkStart w:id="87" w:name="_Toc22985"/>
      <w:r>
        <w:rPr>
          <w:rFonts w:hint="eastAsia" w:ascii="楷体" w:hAnsi="楷体" w:eastAsia="楷体"/>
          <w:b/>
          <w:bCs/>
          <w:color w:val="auto"/>
          <w:sz w:val="32"/>
          <w:szCs w:val="32"/>
        </w:rPr>
        <w:t>（一）产出完成情况分析</w:t>
      </w:r>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cs="Times New Roman"/>
          <w:bCs/>
          <w:color w:val="auto"/>
          <w:kern w:val="2"/>
          <w:sz w:val="32"/>
          <w:szCs w:val="32"/>
          <w:lang w:val="en-US" w:eastAsia="zh-CN" w:bidi="ar-SA"/>
        </w:rPr>
      </w:pPr>
      <w:r>
        <w:rPr>
          <w:rFonts w:hint="eastAsia" w:ascii="仿宋_GB2312" w:hAnsi="楷体" w:eastAsia="仿宋_GB2312"/>
          <w:bCs/>
          <w:color w:val="auto"/>
          <w:kern w:val="0"/>
          <w:sz w:val="32"/>
          <w:szCs w:val="28"/>
          <w:lang w:val="en-US" w:eastAsia="zh-CN"/>
        </w:rPr>
        <w:t>2024年，在以习近平同志为核心的党中央的深切关怀与坚强领导下，</w:t>
      </w:r>
      <w:r>
        <w:rPr>
          <w:rFonts w:hint="eastAsia" w:ascii="仿宋_GB2312" w:hAnsi="楷体" w:eastAsia="仿宋_GB2312"/>
          <w:bCs/>
          <w:color w:val="auto"/>
          <w:kern w:val="0"/>
          <w:sz w:val="32"/>
          <w:szCs w:val="28"/>
        </w:rPr>
        <w:t>北京市</w:t>
      </w:r>
      <w:r>
        <w:rPr>
          <w:rFonts w:hint="eastAsia" w:ascii="仿宋_GB2312" w:hAnsi="楷体" w:eastAsia="仿宋_GB2312"/>
          <w:bCs/>
          <w:color w:val="auto"/>
          <w:kern w:val="0"/>
          <w:sz w:val="32"/>
          <w:szCs w:val="28"/>
          <w:lang w:val="en-US" w:eastAsia="zh-CN"/>
        </w:rPr>
        <w:t>委高度关注，全国妇联悉心指导，妇女儿童事业发展及妇联工作备受重视。市妇联深入学习习近平新时代中国特色社会主义思想和党的二十大精神，认真落实习近平总书记关于妇女儿童和妇联工作的重要论述，围绕新时代首都发展，紧扣妇女儿童和家庭需求，团结奋进、积极作为，在政治职责履行、重点行动推进等方面全面发力，各项工作呈现新气象、实现新突破，为推动北京妇女儿童事业迈向新高度不懈努力，北京市第十五次妇代会于2024年7月顺利召开，为全市妇女事业发展锚定新方向。</w:t>
      </w:r>
      <w:r>
        <w:rPr>
          <w:rFonts w:hint="eastAsia" w:ascii="仿宋_GB2312" w:eastAsia="仿宋_GB2312" w:cs="Times New Roman"/>
          <w:bCs/>
          <w:color w:val="auto"/>
          <w:sz w:val="32"/>
          <w:szCs w:val="32"/>
          <w:lang w:val="en-US" w:eastAsia="zh-CN"/>
        </w:rPr>
        <w:t>2024年，市妇联部门整体绩效目标实现预期，有效保障了重点工作任务完成。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ascii="仿宋_GB2312" w:hAnsi="楷体" w:eastAsia="仿宋_GB2312"/>
          <w:b/>
          <w:color w:val="auto"/>
          <w:kern w:val="0"/>
          <w:sz w:val="32"/>
          <w:szCs w:val="28"/>
        </w:rPr>
      </w:pPr>
      <w:bookmarkStart w:id="88" w:name="_Toc17488"/>
      <w:bookmarkStart w:id="89" w:name="_Toc29130"/>
      <w:bookmarkStart w:id="90" w:name="_Toc1657"/>
      <w:bookmarkStart w:id="91" w:name="_Toc16147"/>
      <w:bookmarkStart w:id="92" w:name="_Toc24961"/>
      <w:bookmarkStart w:id="93" w:name="_Toc17536"/>
      <w:bookmarkStart w:id="94" w:name="_Toc10042"/>
      <w:bookmarkStart w:id="95" w:name="_Toc16837"/>
      <w:bookmarkStart w:id="96" w:name="_Toc3129"/>
      <w:bookmarkStart w:id="97" w:name="_Toc31961"/>
      <w:bookmarkStart w:id="98" w:name="_Toc4952"/>
      <w:r>
        <w:rPr>
          <w:rFonts w:hint="eastAsia" w:ascii="仿宋_GB2312" w:hAnsi="楷体" w:eastAsia="仿宋_GB2312"/>
          <w:b/>
          <w:color w:val="auto"/>
          <w:kern w:val="0"/>
          <w:sz w:val="32"/>
          <w:szCs w:val="28"/>
        </w:rPr>
        <w:t>1.产出数量</w:t>
      </w:r>
      <w:bookmarkEnd w:id="88"/>
      <w:bookmarkEnd w:id="89"/>
      <w:bookmarkEnd w:id="90"/>
      <w:bookmarkEnd w:id="91"/>
      <w:bookmarkEnd w:id="92"/>
      <w:bookmarkEnd w:id="93"/>
      <w:bookmarkEnd w:id="94"/>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Cs/>
          <w:color w:val="auto"/>
          <w:kern w:val="0"/>
          <w:sz w:val="32"/>
          <w:szCs w:val="28"/>
          <w:highlight w:val="none"/>
          <w:lang w:val="en-US" w:eastAsia="zh-CN"/>
        </w:rPr>
      </w:pPr>
      <w:r>
        <w:rPr>
          <w:rFonts w:hint="eastAsia" w:ascii="仿宋_GB2312" w:hAnsi="楷体" w:eastAsia="仿宋_GB2312" w:cs="Times New Roman"/>
          <w:bCs/>
          <w:color w:val="auto"/>
          <w:kern w:val="0"/>
          <w:sz w:val="32"/>
          <w:szCs w:val="28"/>
          <w:lang w:eastAsia="zh-CN"/>
        </w:rPr>
        <w:t>（</w:t>
      </w:r>
      <w:r>
        <w:rPr>
          <w:rFonts w:hint="eastAsia" w:ascii="仿宋_GB2312" w:hAnsi="楷体" w:eastAsia="仿宋_GB2312" w:cs="Times New Roman"/>
          <w:bCs/>
          <w:color w:val="auto"/>
          <w:kern w:val="0"/>
          <w:sz w:val="32"/>
          <w:szCs w:val="28"/>
          <w:lang w:val="en-US" w:eastAsia="zh-CN"/>
        </w:rPr>
        <w:t>1</w:t>
      </w:r>
      <w:r>
        <w:rPr>
          <w:rFonts w:hint="eastAsia" w:ascii="仿宋_GB2312" w:hAnsi="楷体" w:eastAsia="仿宋_GB2312" w:cs="Times New Roman"/>
          <w:bCs/>
          <w:color w:val="auto"/>
          <w:kern w:val="0"/>
          <w:sz w:val="32"/>
          <w:szCs w:val="28"/>
          <w:lang w:eastAsia="zh-CN"/>
        </w:rPr>
        <w:t>）</w:t>
      </w:r>
      <w:r>
        <w:rPr>
          <w:rFonts w:hint="eastAsia" w:ascii="仿宋_GB2312" w:hAnsi="楷体" w:eastAsia="仿宋_GB2312" w:cs="Times New Roman"/>
          <w:bCs/>
          <w:color w:val="auto"/>
          <w:kern w:val="0"/>
          <w:sz w:val="32"/>
          <w:szCs w:val="28"/>
          <w:lang w:val="en-US" w:eastAsia="zh-CN"/>
        </w:rPr>
        <w:t>强化妇女思想政治</w:t>
      </w:r>
      <w:r>
        <w:rPr>
          <w:rFonts w:hint="eastAsia" w:ascii="仿宋_GB2312" w:hAnsi="楷体" w:eastAsia="仿宋_GB2312" w:cs="Times New Roman"/>
          <w:bCs/>
          <w:color w:val="auto"/>
          <w:kern w:val="0"/>
          <w:sz w:val="32"/>
          <w:szCs w:val="28"/>
          <w:highlight w:val="none"/>
          <w:lang w:val="en-US" w:eastAsia="zh-CN"/>
        </w:rPr>
        <w:t>引领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楷体" w:eastAsia="仿宋_GB2312" w:cs="Times New Roman"/>
          <w:bCs/>
          <w:color w:val="auto"/>
          <w:kern w:val="0"/>
          <w:sz w:val="32"/>
          <w:szCs w:val="28"/>
          <w:highlight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bidi="ar-SA"/>
        </w:rPr>
        <w:t>深化“家国情·奋斗正当时”“致敬最美巾帼奋斗者”等主题，在春节、“三八”、家庭日和国庆等节点，连续推出“实干成就梦想”“向幸福出发”等融媒产品，依托全市妇联系统“1+9+N”的线上宣传格局，以“北京女性”微信公众号为核心，横向拓展至“北京女性”微博和抖音、快手、视频号、头条号、百家号、澎湃号、网易号、时间号等9个资讯分发平台，持续推出全方位多层次主题宣传，全年发布信息6900余，其中微信1202篇、微博864条，资讯平台等4900余条,</w:t>
      </w:r>
      <w:r>
        <w:rPr>
          <w:rFonts w:hint="eastAsia" w:ascii="仿宋_GB2312" w:hAnsi="仿宋_GB2312" w:eastAsia="仿宋_GB2312" w:cs="仿宋_GB2312"/>
          <w:kern w:val="0"/>
          <w:sz w:val="32"/>
          <w:szCs w:val="32"/>
          <w:lang w:val="en-US" w:eastAsia="zh-CN" w:bidi="ar"/>
        </w:rPr>
        <w:t>凭借创新的形式与丰富的内容，实现</w:t>
      </w:r>
      <w:r>
        <w:rPr>
          <w:rFonts w:hint="eastAsia" w:ascii="仿宋_GB2312" w:hAnsi="仿宋_GB2312" w:eastAsia="仿宋_GB2312" w:cs="仿宋_GB2312"/>
          <w:b w:val="0"/>
          <w:bCs w:val="0"/>
          <w:color w:val="auto"/>
          <w:kern w:val="2"/>
          <w:sz w:val="32"/>
          <w:szCs w:val="32"/>
          <w:highlight w:val="none"/>
          <w:u w:val="none"/>
          <w:lang w:val="en-US" w:eastAsia="zh-CN" w:bidi="ar-SA"/>
        </w:rPr>
        <w:t>全网传播量超2.3亿</w:t>
      </w:r>
      <w:r>
        <w:rPr>
          <w:rFonts w:hint="eastAsia" w:ascii="仿宋_GB2312" w:hAnsi="仿宋_GB2312" w:eastAsia="仿宋_GB2312" w:cs="仿宋_GB2312"/>
          <w:kern w:val="0"/>
          <w:sz w:val="32"/>
          <w:szCs w:val="32"/>
          <w:lang w:val="en-US" w:eastAsia="zh-CN" w:bidi="ar"/>
        </w:rPr>
        <w:t>，在社会各界引发强烈反响</w:t>
      </w:r>
      <w:r>
        <w:rPr>
          <w:rFonts w:hint="eastAsia" w:ascii="仿宋_GB2312" w:hAnsi="仿宋_GB2312" w:eastAsia="仿宋_GB2312" w:cs="仿宋_GB2312"/>
          <w:b w:val="0"/>
          <w:bCs w:val="0"/>
          <w:color w:val="auto"/>
          <w:kern w:val="2"/>
          <w:sz w:val="32"/>
          <w:szCs w:val="32"/>
          <w:highlight w:val="none"/>
          <w:u w:val="none"/>
          <w:lang w:val="en-US" w:eastAsia="zh-CN" w:bidi="ar-SA"/>
        </w:rPr>
        <w:t>。首都巾帼最美宣讲团进高校、进机关、进“三新”领域，线上线下宣讲8000余场次，覆盖人群达3000万人次。聚焦“最美巾帼奋斗者”，精心采编人物报道12期，深入讲述首都优秀女性的动人故事。注重时代元素，打造富有妇女儿童特色、具有社会影响力的活动载体，开展了10场公益性文化体育活动，通过主流媒体、网络媒体、社会媒体等各种平台广泛传播报道430余条，营造强大舆论声势，</w:t>
      </w:r>
      <w:r>
        <w:rPr>
          <w:rFonts w:hint="eastAsia" w:ascii="仿宋_GB2312" w:hAnsi="仿宋_GB2312" w:eastAsia="仿宋_GB2312" w:cs="仿宋_GB2312"/>
          <w:kern w:val="0"/>
          <w:sz w:val="32"/>
          <w:szCs w:val="32"/>
          <w:lang w:val="en-US" w:eastAsia="zh-CN" w:bidi="ar"/>
        </w:rPr>
        <w:t>有力引领广大妇女积极投身首都高质量发展，激励她们在新时代的征程中贡献巾帼力量，以实际行动跟党奋进新征程、建功新时代。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Cs/>
          <w:color w:val="auto"/>
          <w:kern w:val="0"/>
          <w:sz w:val="32"/>
          <w:szCs w:val="28"/>
          <w:lang w:val="en-US" w:eastAsia="zh-CN"/>
        </w:rPr>
      </w:pPr>
      <w:r>
        <w:rPr>
          <w:rFonts w:hint="eastAsia" w:ascii="仿宋_GB2312" w:hAnsi="楷体" w:eastAsia="仿宋_GB2312" w:cs="Times New Roman"/>
          <w:bCs/>
          <w:color w:val="auto"/>
          <w:kern w:val="0"/>
          <w:sz w:val="32"/>
          <w:szCs w:val="28"/>
          <w:highlight w:val="none"/>
          <w:lang w:eastAsia="zh-CN"/>
        </w:rPr>
        <w:t>（</w:t>
      </w:r>
      <w:r>
        <w:rPr>
          <w:rFonts w:hint="eastAsia" w:ascii="仿宋_GB2312" w:hAnsi="楷体" w:eastAsia="仿宋_GB2312" w:cs="Times New Roman"/>
          <w:bCs/>
          <w:color w:val="auto"/>
          <w:kern w:val="0"/>
          <w:sz w:val="32"/>
          <w:szCs w:val="28"/>
          <w:highlight w:val="none"/>
          <w:lang w:val="en-US" w:eastAsia="zh-CN"/>
        </w:rPr>
        <w:t>2</w:t>
      </w:r>
      <w:r>
        <w:rPr>
          <w:rFonts w:hint="eastAsia" w:ascii="仿宋_GB2312" w:hAnsi="楷体" w:eastAsia="仿宋_GB2312" w:cs="Times New Roman"/>
          <w:bCs/>
          <w:color w:val="auto"/>
          <w:kern w:val="0"/>
          <w:sz w:val="32"/>
          <w:szCs w:val="28"/>
          <w:highlight w:val="none"/>
          <w:lang w:eastAsia="zh-CN"/>
        </w:rPr>
        <w:t>）</w:t>
      </w:r>
      <w:r>
        <w:rPr>
          <w:rFonts w:hint="eastAsia" w:ascii="仿宋_GB2312" w:hAnsi="楷体" w:eastAsia="仿宋_GB2312" w:cs="Times New Roman"/>
          <w:bCs/>
          <w:color w:val="auto"/>
          <w:kern w:val="0"/>
          <w:sz w:val="32"/>
          <w:szCs w:val="28"/>
          <w:highlight w:val="none"/>
          <w:lang w:val="en-US" w:eastAsia="zh-CN"/>
        </w:rPr>
        <w:t>持续深化家庭家教家风</w:t>
      </w:r>
      <w:r>
        <w:rPr>
          <w:rFonts w:hint="eastAsia" w:ascii="仿宋_GB2312" w:hAnsi="楷体" w:eastAsia="仿宋_GB2312" w:cs="Times New Roman"/>
          <w:bCs/>
          <w:color w:val="auto"/>
          <w:kern w:val="0"/>
          <w:sz w:val="32"/>
          <w:szCs w:val="28"/>
          <w:lang w:val="en-US" w:eastAsia="zh-CN"/>
        </w:rPr>
        <w:t>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Cs/>
          <w:color w:val="auto"/>
          <w:kern w:val="0"/>
          <w:sz w:val="32"/>
          <w:szCs w:val="28"/>
          <w:lang w:val="en-US" w:eastAsia="zh-CN"/>
        </w:rPr>
      </w:pPr>
      <w:r>
        <w:rPr>
          <w:rFonts w:hint="eastAsia" w:ascii="仿宋_GB2312" w:hAnsi="楷体" w:eastAsia="仿宋_GB2312" w:cs="Times New Roman"/>
          <w:bCs/>
          <w:color w:val="auto"/>
          <w:kern w:val="0"/>
          <w:sz w:val="32"/>
          <w:szCs w:val="28"/>
          <w:lang w:val="en-US" w:eastAsia="zh-CN"/>
        </w:rPr>
        <w:t>深化家庭文明建设。常态长效寻找“首都最美家庭”，</w:t>
      </w:r>
      <w:r>
        <w:rPr>
          <w:rFonts w:hint="eastAsia" w:ascii="仿宋_GB2312" w:hAnsi="Times New Roman" w:eastAsia="仿宋_GB2312" w:cs="Times New Roman"/>
          <w:color w:val="auto"/>
          <w:sz w:val="32"/>
          <w:szCs w:val="32"/>
          <w:highlight w:val="none"/>
          <w:lang w:val="en-US" w:eastAsia="zh-CN"/>
        </w:rPr>
        <w:t>2024年</w:t>
      </w:r>
      <w:r>
        <w:rPr>
          <w:rFonts w:hint="eastAsia" w:ascii="仿宋_GB2312" w:hAnsi="Times New Roman" w:eastAsia="仿宋_GB2312" w:cs="Times New Roman"/>
          <w:color w:val="auto"/>
          <w:sz w:val="32"/>
          <w:szCs w:val="32"/>
          <w:highlight w:val="none"/>
        </w:rPr>
        <w:t>共</w:t>
      </w:r>
      <w:r>
        <w:rPr>
          <w:rFonts w:hint="eastAsia" w:ascii="仿宋_GB2312" w:eastAsia="仿宋_GB2312" w:cs="Times New Roman"/>
          <w:color w:val="auto"/>
          <w:sz w:val="32"/>
          <w:szCs w:val="32"/>
          <w:highlight w:val="none"/>
          <w:lang w:val="en-US" w:eastAsia="zh-CN"/>
        </w:rPr>
        <w:t>开展5场“寻找首都最美家庭”线下活动，</w:t>
      </w:r>
      <w:r>
        <w:rPr>
          <w:rFonts w:hint="eastAsia" w:ascii="仿宋_GB2312" w:hAnsi="Times New Roman" w:eastAsia="仿宋_GB2312" w:cs="Times New Roman"/>
          <w:color w:val="auto"/>
          <w:sz w:val="32"/>
          <w:szCs w:val="32"/>
          <w:highlight w:val="none"/>
        </w:rPr>
        <w:t>推出“首都最美家庭”350户</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全年</w:t>
      </w:r>
      <w:r>
        <w:rPr>
          <w:rFonts w:hint="eastAsia" w:ascii="仿宋_GB2312" w:hAnsi="Times New Roman" w:eastAsia="仿宋_GB2312" w:cs="Times New Roman"/>
          <w:color w:val="auto"/>
          <w:sz w:val="32"/>
          <w:szCs w:val="32"/>
          <w:highlight w:val="none"/>
        </w:rPr>
        <w:t>媒体报道总量240篇</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新闻客户端首页推荐量</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阅读量超657万、触及粉丝量超2363万</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网络媒体触达账号粉丝量超710万</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微博平台触及粉丝超364万</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活动总曝光量超4094万。</w:t>
      </w:r>
      <w:r>
        <w:rPr>
          <w:rFonts w:hint="eastAsia" w:ascii="仿宋_GB2312" w:hAnsi="Times New Roman" w:eastAsia="仿宋_GB2312" w:cs="Times New Roman"/>
          <w:color w:val="auto"/>
          <w:sz w:val="32"/>
          <w:szCs w:val="32"/>
          <w:highlight w:val="none"/>
          <w:lang w:val="en-US" w:eastAsia="zh-CN"/>
        </w:rPr>
        <w:t>此外，</w:t>
      </w:r>
      <w:r>
        <w:rPr>
          <w:rFonts w:hint="eastAsia" w:ascii="仿宋_GB2312" w:hAnsi="楷体" w:eastAsia="仿宋_GB2312" w:cs="Times New Roman"/>
          <w:bCs/>
          <w:color w:val="auto"/>
          <w:kern w:val="0"/>
          <w:sz w:val="32"/>
          <w:szCs w:val="28"/>
          <w:lang w:val="en-US" w:eastAsia="zh-CN"/>
        </w:rPr>
        <w:t>启动“最美家风润万家”北京行动，开展“清风北京·廉洁齐家”主题活动，推出“家国情2024”主题宣传，总曝光量8700余万</w:t>
      </w:r>
      <w:r>
        <w:rPr>
          <w:rFonts w:hint="eastAsia" w:ascii="仿宋_GB2312" w:hAnsi="仿宋_GB2312" w:eastAsia="仿宋_GB2312" w:cs="仿宋_GB2312"/>
          <w:sz w:val="32"/>
          <w:szCs w:val="32"/>
        </w:rPr>
        <w:t>，在全社会营造出传承优良家风、弘扬家庭美德的浓厚氛围。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Cs/>
          <w:color w:val="auto"/>
          <w:kern w:val="0"/>
          <w:sz w:val="32"/>
          <w:szCs w:val="28"/>
          <w:lang w:val="en-US" w:eastAsia="zh-CN"/>
        </w:rPr>
      </w:pPr>
      <w:r>
        <w:rPr>
          <w:rFonts w:hint="eastAsia" w:ascii="仿宋_GB2312" w:hAnsi="楷体" w:eastAsia="仿宋_GB2312" w:cs="Times New Roman"/>
          <w:bCs/>
          <w:color w:val="auto"/>
          <w:kern w:val="0"/>
          <w:sz w:val="32"/>
          <w:szCs w:val="28"/>
          <w:lang w:val="en-US" w:eastAsia="zh-CN"/>
        </w:rPr>
        <w:t>强化家庭教育指导。大力推进家庭教育指导服务体系建设，有效发挥市区指导中心和专家委员会作用，实施“一对一”结对，有力促进区级指导中心实体化运行。</w:t>
      </w:r>
      <w:r>
        <w:rPr>
          <w:rFonts w:hint="eastAsia" w:ascii="仿宋_GB2312" w:hAnsi="仿宋_GB2312" w:eastAsia="仿宋_GB2312" w:cs="仿宋_GB2312"/>
          <w:color w:val="auto"/>
          <w:kern w:val="0"/>
          <w:sz w:val="32"/>
          <w:szCs w:val="32"/>
          <w:lang w:val="en-US" w:eastAsia="zh-CN"/>
        </w:rPr>
        <w:t>聚焦“沟通能力培养”</w:t>
      </w:r>
      <w:r>
        <w:rPr>
          <w:rFonts w:hint="eastAsia" w:ascii="仿宋_GB2312" w:hAnsi="楷体" w:eastAsia="仿宋_GB2312" w:cs="Times New Roman"/>
          <w:bCs/>
          <w:color w:val="auto"/>
          <w:kern w:val="0"/>
          <w:sz w:val="32"/>
          <w:szCs w:val="28"/>
          <w:lang w:val="en-US" w:eastAsia="zh-CN"/>
        </w:rPr>
        <w:t>，邀请多位专家参与制作20个指导服务新蕊云课堂视频，为广大家庭提供精准化、便捷化的指导服务，视频资源为首都女性终身学习平台和社区家长学校线上平台提供资源，</w:t>
      </w:r>
      <w:r>
        <w:rPr>
          <w:rFonts w:hint="eastAsia" w:ascii="仿宋_GB2312" w:hAnsi="仿宋_GB2312" w:eastAsia="仿宋_GB2312" w:cs="仿宋_GB2312"/>
          <w:b w:val="0"/>
          <w:bCs w:val="0"/>
          <w:color w:val="auto"/>
          <w:kern w:val="0"/>
          <w:sz w:val="32"/>
          <w:szCs w:val="32"/>
          <w:lang w:val="en-US" w:eastAsia="zh-CN" w:bidi="ar-SA"/>
        </w:rPr>
        <w:t>并在多类媒体平台进行传播推广，有效提高服务群体的覆盖面和受益度。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（3）扎实推进维权工作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落实维权工作“五项机制”，高效处理接诉即办事项，成功推动解决妇女群众各类诉求2万余件，市妇联还在接诉即办改革论坛做主旨发言，分享妇女儿童和家庭参与基层治理生动实践经验。积极开展“巾帼普法村居行”等宣传活动。持续开展婚姻家庭矛盾纠纷调解工作，指导全市调解婚姻家庭类矛盾纠纷共17136件，促进社会和谐稳定，有利于减少因婚姻家庭纠纷引发的社会问题，如家庭暴力、青少年犯罪等。</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（4）拓展“三新”领域妇联建设</w:t>
      </w:r>
    </w:p>
    <w:p>
      <w:pPr>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640" w:firstLineChars="200"/>
        <w:jc w:val="both"/>
        <w:textAlignment w:val="auto"/>
        <w:rPr>
          <w:rFonts w:hint="default" w:ascii="Times New Roman" w:hAnsi="Times New Roman" w:eastAsia="仿宋_GB2312" w:cs="Times New Roman"/>
          <w:kern w:val="2"/>
          <w:sz w:val="28"/>
          <w:szCs w:val="22"/>
          <w:lang w:val="en-US" w:eastAsia="zh-CN" w:bidi="ar-SA"/>
        </w:rPr>
      </w:pPr>
      <w:r>
        <w:rPr>
          <w:rFonts w:hint="eastAsia" w:ascii="仿宋_GB2312" w:hAnsi="楷体" w:eastAsia="仿宋_GB2312" w:cs="Times New Roman"/>
          <w:b w:val="0"/>
          <w:bCs/>
          <w:color w:val="auto"/>
          <w:kern w:val="0"/>
          <w:sz w:val="32"/>
          <w:szCs w:val="28"/>
          <w:lang w:val="en-US" w:eastAsia="zh-CN" w:bidi="ar-SA"/>
        </w:rPr>
        <w:t>研究出台关于深化拓展、加速推进“三新”领域妇联组织全覆盖的若干措施，实现区域内24家民营500强和33家互联网综合实力百强企业及“女性社会组织”936家</w:t>
      </w:r>
      <w:r>
        <w:rPr>
          <w:rFonts w:hint="eastAsia" w:ascii="仿宋_GB2312" w:hAnsi="仿宋_GB2312" w:eastAsia="仿宋_GB2312" w:cs="仿宋_GB2312"/>
          <w:b w:val="0"/>
          <w:bCs w:val="0"/>
          <w:color w:val="auto"/>
          <w:kern w:val="2"/>
          <w:sz w:val="32"/>
          <w:szCs w:val="32"/>
          <w:highlight w:val="none"/>
          <w:u w:val="none"/>
          <w:lang w:val="en-US" w:eastAsia="zh-CN" w:bidi="ar-SA"/>
        </w:rPr>
        <w:t>全覆盖，</w:t>
      </w:r>
      <w:r>
        <w:rPr>
          <w:rFonts w:hint="eastAsia" w:ascii="仿宋_GB2312" w:hAnsi="仿宋_GB2312" w:eastAsia="仿宋_GB2312" w:cs="仿宋_GB2312"/>
          <w:kern w:val="0"/>
          <w:sz w:val="32"/>
          <w:szCs w:val="32"/>
          <w:lang w:val="en-US" w:eastAsia="zh-CN" w:bidi="ar"/>
        </w:rPr>
        <w:t>极大地扩大了妇联组织在“三新”领域的影响力与覆盖面</w:t>
      </w:r>
      <w:r>
        <w:rPr>
          <w:rFonts w:hint="eastAsia" w:ascii="仿宋_GB2312" w:hAnsi="仿宋_GB2312" w:eastAsia="仿宋_GB2312" w:cs="仿宋_GB2312"/>
          <w:b w:val="0"/>
          <w:bCs w:val="0"/>
          <w:color w:val="auto"/>
          <w:kern w:val="2"/>
          <w:sz w:val="32"/>
          <w:szCs w:val="32"/>
          <w:highlight w:val="none"/>
          <w:u w:val="none"/>
          <w:lang w:val="en-US" w:eastAsia="zh-CN" w:bidi="ar-SA"/>
        </w:rPr>
        <w:t>。拓展“温暖北京温暖你”工作品牌，推出暖“新”码，凝聚服务“三新”领域女性群体，</w:t>
      </w:r>
      <w:r>
        <w:rPr>
          <w:rFonts w:hint="eastAsia" w:ascii="仿宋_GB2312" w:hAnsi="楷体" w:eastAsia="仿宋_GB2312" w:cs="Times New Roman"/>
          <w:b w:val="0"/>
          <w:bCs/>
          <w:color w:val="auto"/>
          <w:kern w:val="0"/>
          <w:sz w:val="32"/>
          <w:szCs w:val="28"/>
          <w:lang w:val="en-US" w:eastAsia="zh-CN" w:bidi="ar-SA"/>
        </w:rPr>
        <w:t>取得显著成效。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（5）夯实基层基础工作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全年开展2场妇女代表联系制活动，持续加强代表与妇女群众的直接联系，密切代表与妇联组织的沟通交流，切实提升代表联系和服务妇女群众实效；深耕妇联组织建设工作，稳步推进新经济平台、消费网站和网络视听3个女性集中的新领域妇联组织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（6）广泛开展志愿服务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rPr>
        <w:t>实施“六个一”巾帼志愿服务行动，累计开展志愿活动9000余场，服务人群达13万人次。常态化开展寒暑期儿童关爱服务，组织近万场活动，惠及21万人次，</w:t>
      </w:r>
      <w:r>
        <w:rPr>
          <w:rFonts w:hint="eastAsia" w:ascii="仿宋_GB2312" w:hAnsi="仿宋_GB2312" w:eastAsia="仿宋_GB2312" w:cs="仿宋_GB2312"/>
          <w:kern w:val="0"/>
          <w:sz w:val="32"/>
          <w:szCs w:val="32"/>
          <w:lang w:val="en-US" w:eastAsia="zh-CN" w:bidi="ar"/>
        </w:rPr>
        <w:t>为孩子们的健康成长提供了有力支持与关爱。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cs="Times New Roman"/>
          <w:b/>
          <w:color w:val="auto"/>
          <w:kern w:val="0"/>
          <w:sz w:val="32"/>
          <w:szCs w:val="28"/>
        </w:rPr>
      </w:pPr>
      <w:bookmarkStart w:id="99" w:name="_Toc4945"/>
      <w:bookmarkStart w:id="100" w:name="_Toc14448"/>
      <w:bookmarkStart w:id="101" w:name="_Toc7335"/>
      <w:bookmarkStart w:id="102" w:name="_Toc17835"/>
      <w:bookmarkStart w:id="103" w:name="_Toc30878"/>
      <w:bookmarkStart w:id="104" w:name="_Toc26067"/>
      <w:bookmarkStart w:id="105" w:name="_Toc23302"/>
      <w:bookmarkStart w:id="106" w:name="_Toc25201"/>
      <w:r>
        <w:rPr>
          <w:rFonts w:hint="eastAsia" w:ascii="仿宋_GB2312" w:hAnsi="楷体" w:eastAsia="仿宋_GB2312" w:cs="Times New Roman"/>
          <w:b/>
          <w:color w:val="auto"/>
          <w:kern w:val="0"/>
          <w:sz w:val="32"/>
          <w:szCs w:val="28"/>
        </w:rPr>
        <w:t>2.产出质量</w:t>
      </w:r>
      <w:bookmarkEnd w:id="99"/>
      <w:bookmarkEnd w:id="100"/>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（1）规范巾帼志愿阳光站建设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落实全国妇联《关于加强建设全国文明实践巾帼志愿“阳光站”的通知》，开展阳光站标准化建设，助力阳光站规范化建设，</w:t>
      </w:r>
      <w:r>
        <w:rPr>
          <w:rFonts w:hint="eastAsia" w:ascii="仿宋_GB2312" w:hAnsi="仿宋_GB2312" w:eastAsia="仿宋_GB2312" w:cs="仿宋_GB2312"/>
          <w:bCs/>
          <w:sz w:val="32"/>
          <w:szCs w:val="32"/>
          <w:lang w:val="en-US" w:eastAsia="zh-CN"/>
        </w:rPr>
        <w:t>市妇联</w:t>
      </w:r>
      <w:r>
        <w:rPr>
          <w:rFonts w:hint="eastAsia" w:ascii="仿宋_GB2312" w:hAnsi="仿宋_GB2312" w:eastAsia="仿宋_GB2312" w:cs="仿宋_GB2312"/>
          <w:bCs/>
          <w:sz w:val="32"/>
          <w:szCs w:val="32"/>
        </w:rPr>
        <w:t>对巾帼志愿阳光站建设进行调研，掌握北京市巾帼志愿阳光站建设基本情况，深度了解阳光站建设的相关需求和困境，并基于调研发现，以解决问题、提供高质量服务为导向，编制《北京市巾帼志愿阳光站建设工作指引》，为阳光站标准化建设、规范化运营、专业化服务提供行动指引。</w:t>
      </w:r>
      <w:r>
        <w:rPr>
          <w:rFonts w:hint="eastAsia" w:ascii="仿宋_GB2312" w:hAnsi="仿宋_GB2312" w:eastAsia="仿宋_GB2312" w:cs="仿宋_GB2312"/>
          <w:bCs/>
          <w:sz w:val="32"/>
          <w:szCs w:val="32"/>
          <w:lang w:val="en-US" w:eastAsia="zh-CN"/>
        </w:rPr>
        <w:t>同时，注重</w:t>
      </w:r>
      <w:r>
        <w:rPr>
          <w:rFonts w:hint="eastAsia" w:ascii="仿宋_GB2312" w:hAnsi="仿宋_GB2312" w:eastAsia="仿宋_GB2312" w:cs="仿宋_GB2312"/>
          <w:bCs/>
          <w:sz w:val="32"/>
          <w:szCs w:val="32"/>
        </w:rPr>
        <w:t>打造巾帼志愿阳光站特色品牌服务，</w:t>
      </w:r>
      <w:r>
        <w:rPr>
          <w:rFonts w:hint="eastAsia" w:ascii="仿宋_GB2312" w:hAnsi="仿宋_GB2312" w:eastAsia="仿宋_GB2312" w:cs="仿宋_GB2312"/>
          <w:bCs/>
          <w:sz w:val="32"/>
          <w:szCs w:val="32"/>
          <w:lang w:val="en-US" w:eastAsia="zh-CN"/>
        </w:rPr>
        <w:t>采用</w:t>
      </w:r>
      <w:r>
        <w:rPr>
          <w:rFonts w:hint="eastAsia" w:ascii="仿宋_GB2312" w:hAnsi="仿宋_GB2312" w:eastAsia="仿宋_GB2312" w:cs="仿宋_GB2312"/>
          <w:bCs/>
          <w:sz w:val="32"/>
          <w:szCs w:val="32"/>
        </w:rPr>
        <w:t>“参与式培训+实践应用+成果路演”相结合的形式，提升阳光站相关负责人员项目策划与实施能力，</w:t>
      </w:r>
      <w:r>
        <w:rPr>
          <w:rFonts w:hint="eastAsia" w:ascii="仿宋_GB2312" w:hAnsi="仿宋_GB2312" w:eastAsia="仿宋_GB2312" w:cs="仿宋_GB2312"/>
          <w:kern w:val="0"/>
          <w:sz w:val="32"/>
          <w:szCs w:val="32"/>
          <w:lang w:val="en-US" w:eastAsia="zh-CN" w:bidi="ar"/>
        </w:rPr>
        <w:t>推动各阳光站紧密结合辖区特点，实现一站一品牌的特色化发展。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（2）推进男女平等国策宣传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坚定不移贯彻男女平等基本国策，注重源头维权，健全法规政策性别平等评估机制。通过不断展示各类优秀妇女典型案例等各类方式，持续巩固主流思想舆论阵地，</w:t>
      </w:r>
      <w:r>
        <w:rPr>
          <w:rFonts w:hint="eastAsia" w:ascii="仿宋_GB2312" w:hAnsi="仿宋_GB2312" w:eastAsia="仿宋_GB2312" w:cs="仿宋_GB2312"/>
          <w:b w:val="0"/>
          <w:bCs w:val="0"/>
          <w:sz w:val="32"/>
          <w:szCs w:val="32"/>
          <w:highlight w:val="none"/>
          <w:lang w:val="en-US" w:eastAsia="zh-CN"/>
        </w:rPr>
        <w:t>持续推进男女平等基本国策宣传教育，</w:t>
      </w:r>
      <w:r>
        <w:rPr>
          <w:rFonts w:hint="eastAsia" w:ascii="仿宋_GB2312" w:hAnsi="楷体" w:eastAsia="仿宋_GB2312" w:cs="Times New Roman"/>
          <w:b w:val="0"/>
          <w:bCs/>
          <w:color w:val="auto"/>
          <w:kern w:val="0"/>
          <w:sz w:val="32"/>
          <w:szCs w:val="28"/>
          <w:lang w:val="en-US" w:eastAsia="zh-CN" w:bidi="ar-SA"/>
        </w:rPr>
        <w:t>不断提升男女平等意识。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（3）完善家庭教育工作体系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深入贯彻习近平总书记关于家庭家教家风建设重要论述，严格贯彻实施《家庭教育促进法》等法律要求，健全横向联合、纵向联动的家庭教育工作体系，在工作队伍建设、阵地拓展、平台搭建等方面持续发力，并产生了一定的宣传示范效应。</w:t>
      </w:r>
      <w:r>
        <w:rPr>
          <w:rFonts w:hint="eastAsia" w:ascii="仿宋_GB2312" w:hAnsi="仿宋_GB2312" w:eastAsia="仿宋_GB2312" w:cs="仿宋_GB2312"/>
          <w:b w:val="0"/>
          <w:bCs w:val="0"/>
          <w:color w:val="auto"/>
          <w:sz w:val="32"/>
          <w:szCs w:val="32"/>
          <w:highlight w:val="none"/>
          <w:u w:val="none"/>
          <w:lang w:val="en-US" w:eastAsia="zh-CN"/>
        </w:rPr>
        <w:t>联合9部门实施爱心妈妈关爱留守儿童和困境儿童三年行动，建立“1+N”团队关爱模式，打造“北京爱心妈妈”品牌，招募爱心妈妈1508名，关爱服务动态覆盖953名困境儿童，做到应结尽结。组建“阳光关爱阵地联盟”，实现爱心妈妈驿站在街乡全覆盖、爱心妈妈骨干培训全覆盖，推动困境儿童日常关爱规范化和集中关爱经常化。</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（4）提高社会组织服务能力</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auto"/>
          <w:lang w:val="en-US" w:eastAsia="zh-CN"/>
        </w:rPr>
      </w:pPr>
      <w:r>
        <w:rPr>
          <w:rFonts w:hint="eastAsia" w:ascii="仿宋_GB2312" w:hAnsi="楷体" w:eastAsia="仿宋_GB2312" w:cs="Times New Roman"/>
          <w:b w:val="0"/>
          <w:bCs/>
          <w:color w:val="auto"/>
          <w:kern w:val="0"/>
          <w:sz w:val="32"/>
          <w:szCs w:val="28"/>
          <w:lang w:val="en-US" w:eastAsia="zh-CN" w:bidi="ar-SA"/>
        </w:rPr>
        <w:t>在市妇联的指导、督促、监测下各社会组织实施项目以及服务妇女儿童家庭的能力有所提升，进一步加深了对基层情况的了解。成功将妇联工作融入基层社会治理网格管理，使妇联的组织优势、组织资源、组织力量延伸到社会治理的最末端，为基层社会治理注入巾帼力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b/>
          <w:color w:val="auto"/>
          <w:kern w:val="0"/>
          <w:sz w:val="32"/>
          <w:szCs w:val="28"/>
        </w:rPr>
      </w:pPr>
      <w:bookmarkStart w:id="107" w:name="_Toc22232"/>
      <w:bookmarkStart w:id="108" w:name="_Toc8103"/>
      <w:bookmarkStart w:id="109" w:name="_Toc32135"/>
      <w:bookmarkStart w:id="110" w:name="_Toc10188"/>
      <w:bookmarkStart w:id="111" w:name="_Toc13295"/>
      <w:bookmarkStart w:id="112" w:name="_Toc28044"/>
      <w:bookmarkStart w:id="113" w:name="_Toc16340"/>
      <w:bookmarkStart w:id="114" w:name="_Toc1337"/>
      <w:bookmarkStart w:id="115" w:name="_Toc29163"/>
      <w:bookmarkStart w:id="116" w:name="_Toc110"/>
      <w:bookmarkStart w:id="117" w:name="_Toc21386"/>
      <w:r>
        <w:rPr>
          <w:rFonts w:hint="eastAsia" w:ascii="仿宋_GB2312" w:hAnsi="楷体" w:eastAsia="仿宋_GB2312"/>
          <w:b/>
          <w:color w:val="auto"/>
          <w:kern w:val="0"/>
          <w:sz w:val="32"/>
          <w:szCs w:val="28"/>
        </w:rPr>
        <w:t>3.产出进度</w:t>
      </w:r>
      <w:bookmarkEnd w:id="107"/>
      <w:bookmarkEnd w:id="108"/>
      <w:bookmarkEnd w:id="109"/>
      <w:bookmarkEnd w:id="110"/>
      <w:bookmarkEnd w:id="111"/>
      <w:bookmarkEnd w:id="112"/>
      <w:bookmarkEnd w:id="113"/>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rPr>
        <w:t>市妇联工作贯穿全年，按照年初预算批复及年中预算调整</w:t>
      </w:r>
      <w:r>
        <w:rPr>
          <w:rFonts w:hint="eastAsia" w:ascii="仿宋_GB2312" w:hAnsi="楷体" w:eastAsia="仿宋_GB2312"/>
          <w:bCs/>
          <w:color w:val="auto"/>
          <w:kern w:val="0"/>
          <w:sz w:val="32"/>
          <w:szCs w:val="28"/>
          <w:lang w:val="en-US" w:eastAsia="zh-CN"/>
        </w:rPr>
        <w:t>成果</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完成了</w:t>
      </w:r>
      <w:r>
        <w:rPr>
          <w:rFonts w:hint="eastAsia" w:ascii="仿宋_GB2312" w:hAnsi="楷体" w:eastAsia="仿宋_GB2312"/>
          <w:bCs/>
          <w:color w:val="auto"/>
          <w:kern w:val="0"/>
          <w:sz w:val="32"/>
          <w:szCs w:val="28"/>
        </w:rPr>
        <w:t>202</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rPr>
        <w:t>年工作任务</w:t>
      </w:r>
      <w:r>
        <w:rPr>
          <w:rFonts w:hint="eastAsia" w:ascii="仿宋_GB2312" w:hAnsi="楷体" w:eastAsia="仿宋_GB2312"/>
          <w:bCs/>
          <w:color w:val="auto"/>
          <w:kern w:val="0"/>
          <w:sz w:val="32"/>
          <w:szCs w:val="28"/>
          <w:lang w:val="en-US" w:eastAsia="zh-CN"/>
        </w:rPr>
        <w:t>，仅个别项目执行进度滞后</w:t>
      </w:r>
      <w:r>
        <w:rPr>
          <w:rFonts w:hint="eastAsia" w:ascii="仿宋_GB2312" w:hAnsi="楷体" w:eastAsia="仿宋_GB2312"/>
          <w:bCs/>
          <w:color w:val="auto"/>
          <w:kern w:val="0"/>
          <w:sz w:val="32"/>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b/>
          <w:color w:val="auto"/>
          <w:kern w:val="0"/>
          <w:sz w:val="32"/>
          <w:szCs w:val="28"/>
        </w:rPr>
      </w:pPr>
      <w:bookmarkStart w:id="118" w:name="_Toc27230"/>
      <w:bookmarkStart w:id="119" w:name="_Toc27072"/>
      <w:bookmarkStart w:id="120" w:name="_Toc32695"/>
      <w:bookmarkStart w:id="121" w:name="_Toc7451"/>
      <w:bookmarkStart w:id="122" w:name="_Toc28180"/>
      <w:bookmarkStart w:id="123" w:name="_Toc15614"/>
      <w:bookmarkStart w:id="124" w:name="_Toc25863"/>
      <w:bookmarkStart w:id="125" w:name="_Toc511"/>
      <w:bookmarkStart w:id="126" w:name="_Toc8190"/>
      <w:bookmarkStart w:id="127" w:name="_Toc23318"/>
      <w:bookmarkStart w:id="128" w:name="_Toc26027"/>
      <w:r>
        <w:rPr>
          <w:rFonts w:hint="eastAsia" w:ascii="仿宋_GB2312" w:hAnsi="楷体" w:eastAsia="仿宋_GB2312"/>
          <w:b/>
          <w:color w:val="auto"/>
          <w:kern w:val="0"/>
          <w:sz w:val="32"/>
          <w:szCs w:val="28"/>
        </w:rPr>
        <w:t>4.产出成本</w:t>
      </w:r>
      <w:bookmarkEnd w:id="118"/>
      <w:bookmarkEnd w:id="119"/>
      <w:bookmarkEnd w:id="120"/>
      <w:bookmarkEnd w:id="121"/>
      <w:bookmarkEnd w:id="122"/>
      <w:bookmarkEnd w:id="123"/>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lang w:val="en-US" w:eastAsia="zh-CN"/>
        </w:rPr>
        <w:t>2024年，</w:t>
      </w:r>
      <w:r>
        <w:rPr>
          <w:rFonts w:hint="eastAsia" w:ascii="仿宋_GB2312" w:hAnsi="楷体" w:eastAsia="仿宋_GB2312"/>
          <w:bCs/>
          <w:color w:val="auto"/>
          <w:kern w:val="0"/>
          <w:sz w:val="32"/>
          <w:szCs w:val="28"/>
        </w:rPr>
        <w:t>市妇联全年预算数9</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155</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843977万元，</w:t>
      </w:r>
      <w:r>
        <w:rPr>
          <w:rFonts w:hint="eastAsia" w:ascii="仿宋_GB2312" w:hAnsi="宋体" w:eastAsia="仿宋_GB2312" w:cs="宋体"/>
          <w:b w:val="0"/>
          <w:bCs w:val="0"/>
          <w:color w:val="auto"/>
          <w:kern w:val="0"/>
          <w:sz w:val="32"/>
          <w:szCs w:val="32"/>
          <w:lang w:val="en-US" w:eastAsia="zh-CN"/>
        </w:rPr>
        <w:t>资金总体</w:t>
      </w:r>
      <w:r>
        <w:rPr>
          <w:rFonts w:hint="eastAsia" w:ascii="仿宋_GB2312" w:hAnsi="楷体" w:eastAsia="仿宋_GB2312"/>
          <w:bCs/>
          <w:color w:val="auto"/>
          <w:kern w:val="0"/>
          <w:sz w:val="32"/>
          <w:szCs w:val="28"/>
        </w:rPr>
        <w:t>支出</w:t>
      </w:r>
      <w:r>
        <w:rPr>
          <w:rFonts w:hint="eastAsia" w:ascii="仿宋_GB2312" w:hAnsi="仿宋_GB2312" w:eastAsia="仿宋_GB2312" w:cs="仿宋_GB2312"/>
          <w:color w:val="auto"/>
          <w:kern w:val="0"/>
          <w:sz w:val="32"/>
          <w:szCs w:val="32"/>
        </w:rPr>
        <w:t>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784.452324</w:t>
      </w:r>
      <w:r>
        <w:rPr>
          <w:rFonts w:hint="eastAsia" w:ascii="仿宋_GB2312" w:hAnsi="楷体" w:eastAsia="仿宋_GB2312"/>
          <w:bCs/>
          <w:color w:val="auto"/>
          <w:kern w:val="0"/>
          <w:sz w:val="32"/>
          <w:szCs w:val="28"/>
        </w:rPr>
        <w:t>万元，其中，基本支出5,793.523995万元，项目支出2,990.928329万元，预算执行率</w:t>
      </w:r>
      <w:r>
        <w:rPr>
          <w:rFonts w:hint="eastAsia" w:ascii="仿宋_GB2312" w:hAnsi="楷体" w:eastAsia="仿宋_GB2312"/>
          <w:bCs/>
          <w:color w:val="auto"/>
          <w:kern w:val="0"/>
          <w:sz w:val="32"/>
          <w:szCs w:val="28"/>
          <w:lang w:val="en-US" w:eastAsia="zh-CN"/>
        </w:rPr>
        <w:t>95.94</w:t>
      </w:r>
      <w:r>
        <w:rPr>
          <w:rFonts w:hint="eastAsia" w:ascii="仿宋_GB2312" w:hAnsi="楷体" w:eastAsia="仿宋_GB2312"/>
          <w:bCs/>
          <w:color w:val="auto"/>
          <w:kern w:val="0"/>
          <w:sz w:val="32"/>
          <w:szCs w:val="28"/>
        </w:rPr>
        <w:t>%。部门整体支出控制在预算批复范围内。</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1"/>
        <w:rPr>
          <w:rFonts w:ascii="楷体" w:hAnsi="楷体" w:eastAsia="楷体"/>
          <w:color w:val="auto"/>
          <w:sz w:val="32"/>
          <w:szCs w:val="32"/>
        </w:rPr>
      </w:pPr>
      <w:bookmarkStart w:id="129" w:name="_Toc21769"/>
      <w:bookmarkStart w:id="130" w:name="_Toc11762"/>
      <w:bookmarkStart w:id="131" w:name="_Toc26191"/>
      <w:bookmarkStart w:id="132" w:name="_Toc30310"/>
      <w:bookmarkStart w:id="133" w:name="_Toc9314"/>
      <w:bookmarkStart w:id="134" w:name="_Toc28164"/>
      <w:bookmarkStart w:id="135" w:name="_Toc24390"/>
      <w:bookmarkStart w:id="136" w:name="_Toc158"/>
      <w:bookmarkStart w:id="137" w:name="_Toc30667"/>
      <w:bookmarkStart w:id="138" w:name="_Toc25120"/>
      <w:bookmarkStart w:id="139" w:name="_Toc93"/>
      <w:r>
        <w:rPr>
          <w:rFonts w:hint="eastAsia" w:ascii="楷体" w:hAnsi="楷体" w:eastAsia="楷体"/>
          <w:color w:val="auto"/>
          <w:sz w:val="32"/>
          <w:szCs w:val="32"/>
        </w:rPr>
        <w:t>（二）效果</w:t>
      </w:r>
      <w:r>
        <w:rPr>
          <w:rFonts w:ascii="楷体" w:hAnsi="楷体" w:eastAsia="楷体"/>
          <w:color w:val="auto"/>
          <w:sz w:val="32"/>
          <w:szCs w:val="32"/>
        </w:rPr>
        <w:t>实现情况分析</w:t>
      </w:r>
      <w:bookmarkEnd w:id="129"/>
      <w:bookmarkEnd w:id="130"/>
      <w:bookmarkEnd w:id="131"/>
      <w:bookmarkEnd w:id="132"/>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b/>
          <w:color w:val="auto"/>
          <w:kern w:val="0"/>
          <w:sz w:val="32"/>
          <w:szCs w:val="28"/>
        </w:rPr>
      </w:pPr>
      <w:bookmarkStart w:id="140" w:name="_Toc8139"/>
      <w:bookmarkStart w:id="141" w:name="_Toc20166"/>
      <w:bookmarkStart w:id="142" w:name="_Toc22728"/>
      <w:bookmarkStart w:id="143" w:name="_Toc12389"/>
      <w:bookmarkStart w:id="144" w:name="_Toc13950"/>
      <w:bookmarkStart w:id="145" w:name="_Toc3831"/>
      <w:bookmarkStart w:id="146" w:name="_Toc21779"/>
      <w:bookmarkStart w:id="147" w:name="_Toc15863"/>
      <w:bookmarkStart w:id="148" w:name="_Toc23728"/>
      <w:bookmarkStart w:id="149" w:name="_Toc4937"/>
      <w:bookmarkStart w:id="150" w:name="_Toc29282"/>
      <w:r>
        <w:rPr>
          <w:rFonts w:hint="eastAsia" w:ascii="仿宋_GB2312" w:hAnsi="楷体" w:eastAsia="仿宋_GB2312"/>
          <w:b/>
          <w:color w:val="auto"/>
          <w:kern w:val="0"/>
          <w:sz w:val="32"/>
          <w:szCs w:val="28"/>
        </w:rPr>
        <w:t>1.社会效益</w:t>
      </w:r>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坚定拥护“两个确立”、坚决做到“两个维护”，以新时代首都发展为统领，以妇女儿童和家庭可感可及、效果可评可量作为工作导向，团结一心、奋力拼搏，各项工作呈现出全面起势、突破发展的良好态势，展现出新气象、新作为。</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一是</w:t>
      </w:r>
      <w:r>
        <w:rPr>
          <w:rFonts w:hint="eastAsia" w:ascii="仿宋_GB2312" w:hAnsi="仿宋_GB2312" w:eastAsia="仿宋_GB2312" w:cs="仿宋_GB2312"/>
          <w:sz w:val="32"/>
          <w:szCs w:val="32"/>
        </w:rPr>
        <w:t>切实履行妇联组织政治职责，以习近平新时代中国特色社会主义思想、党的二十届三中全会精神为引领，全面总结以往五年妇联工作和妇女事业发展成就。深刻阐述用习近平新时代中国特色社会主义思想指引北京妇女事业新航程的根本要求，科学谋划未来五年妇联工作高质量发展和妇联组织改革建设的目标任务，成功团结凝聚起广大妇女跟党奋进新征程的强大力量。</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二是</w:t>
      </w:r>
      <w:r>
        <w:rPr>
          <w:rFonts w:hint="eastAsia" w:ascii="仿宋_GB2312" w:hAnsi="仿宋_GB2312" w:eastAsia="仿宋_GB2312" w:cs="仿宋_GB2312"/>
          <w:sz w:val="32"/>
          <w:szCs w:val="32"/>
        </w:rPr>
        <w:t>持续推动妇女儿童事业和妇联工作迈向新台阶。做深、做优巾帼心向党引领行动，积极响应国家经济发展战略，响亮唱出中国经济光明论主旋律。深化“科技创新巾帼行动”、家庭文明建设，全力推动“十四五”妇儿规划落实，引领广大妇女积极投身推进中国式现代化建设，为国家发展贡献巾帼智慧与力量。</w:t>
      </w:r>
    </w:p>
    <w:p>
      <w:pPr>
        <w:keepNext w:val="0"/>
        <w:keepLines w:val="0"/>
        <w:pageBreakBefore w:val="0"/>
        <w:widowControl w:val="0"/>
        <w:numPr>
          <w:ilvl w:val="-1"/>
          <w:numId w:val="0"/>
        </w:numPr>
        <w:pBdr>
          <w:bottom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highlight w:val="none"/>
          <w:u w:val="none"/>
          <w:lang w:val="zh-CN" w:eastAsia="zh-CN"/>
        </w:rPr>
      </w:pPr>
      <w:r>
        <w:rPr>
          <w:rFonts w:hint="eastAsia" w:ascii="仿宋_GB2312" w:hAnsi="仿宋_GB2312" w:eastAsia="仿宋_GB2312" w:cs="仿宋_GB2312"/>
          <w:b w:val="0"/>
          <w:bCs/>
          <w:sz w:val="32"/>
          <w:szCs w:val="32"/>
          <w:lang w:val="zh-CN" w:eastAsia="zh-CN"/>
        </w:rPr>
        <w:t>三是</w:t>
      </w:r>
      <w:r>
        <w:rPr>
          <w:rFonts w:hint="eastAsia" w:ascii="仿宋_GB2312" w:hAnsi="仿宋_GB2312" w:eastAsia="仿宋_GB2312" w:cs="仿宋_GB2312"/>
          <w:bCs/>
          <w:sz w:val="32"/>
          <w:szCs w:val="32"/>
          <w:lang w:val="zh-CN"/>
        </w:rPr>
        <w:t>持续加深对妇女儿童的关爱与保护。推动困境儿童日常关爱规范化和集中关爱经常化，通过开展形式多样的关爱活动，为困境儿童提供生活帮助、心理辅导等全方位支持。同时，积极引导社会各界树立儿童友好社会共识，营造关爱儿童成长的良好社会氛围。</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zh-CN" w:eastAsia="zh-CN"/>
        </w:rPr>
      </w:pPr>
      <w:r>
        <w:rPr>
          <w:rFonts w:hint="eastAsia" w:ascii="仿宋_GB2312" w:hAnsi="仿宋_GB2312" w:eastAsia="仿宋_GB2312" w:cs="仿宋_GB2312"/>
          <w:b w:val="0"/>
          <w:bCs/>
          <w:sz w:val="32"/>
          <w:szCs w:val="32"/>
          <w:lang w:val="zh-CN" w:eastAsia="zh-CN"/>
        </w:rPr>
        <w:t>四是</w:t>
      </w:r>
      <w:r>
        <w:rPr>
          <w:rFonts w:hint="eastAsia" w:ascii="仿宋_GB2312" w:hAnsi="仿宋_GB2312" w:eastAsia="仿宋_GB2312" w:cs="仿宋_GB2312"/>
          <w:bCs/>
          <w:sz w:val="32"/>
          <w:szCs w:val="32"/>
          <w:lang w:val="zh-CN"/>
        </w:rPr>
        <w:t>把保障妇女权益作为工作关键，全面落实党政主导的妇女权益维护五项机制。重点做好发现报告、联防联动、关爱服务、舆情应对以及工作监督等工作，建立健全妇女权益保障长效机制，坚决守牢涉妇女儿童领域政治安全底线，切实维护妇女儿童的合法权益。</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ascii="Times New Roman" w:hAnsi="Times New Roman" w:eastAsia="宋体" w:cs="Times New Roman"/>
          <w:color w:val="auto"/>
        </w:rPr>
      </w:pPr>
      <w:r>
        <w:rPr>
          <w:rFonts w:hint="eastAsia" w:ascii="仿宋_GB2312" w:hAnsi="仿宋_GB2312" w:eastAsia="仿宋_GB2312" w:cs="仿宋_GB2312"/>
          <w:b w:val="0"/>
          <w:bCs/>
          <w:sz w:val="32"/>
          <w:szCs w:val="32"/>
          <w:lang w:val="zh-CN" w:eastAsia="zh-CN"/>
        </w:rPr>
        <w:t>五是</w:t>
      </w:r>
      <w:r>
        <w:rPr>
          <w:rFonts w:hint="eastAsia" w:ascii="仿宋_GB2312" w:hAnsi="仿宋_GB2312" w:eastAsia="仿宋_GB2312" w:cs="仿宋_GB2312"/>
          <w:bCs/>
          <w:sz w:val="32"/>
          <w:szCs w:val="32"/>
          <w:lang w:val="zh-CN"/>
        </w:rPr>
        <w:t>持续深化妇联改革和建设，巩固提升“破</w:t>
      </w:r>
      <w:r>
        <w:rPr>
          <w:rFonts w:hint="eastAsia" w:ascii="仿宋_GB2312" w:hAnsi="仿宋_GB2312" w:eastAsia="仿宋_GB2312" w:cs="仿宋_GB2312"/>
          <w:sz w:val="32"/>
          <w:szCs w:val="32"/>
        </w:rPr>
        <w:t>难行动”成果。通过优化组织架构、创新工作方式、加强队伍建设等举措，不断增强妇联工作和妇联组织的政治性、先进性、群众性，提升妇联组织的凝聚力、战斗力和影响力。</w:t>
      </w:r>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cs="Times New Roman"/>
          <w:b/>
          <w:color w:val="auto"/>
          <w:kern w:val="0"/>
          <w:sz w:val="32"/>
          <w:szCs w:val="28"/>
        </w:rPr>
      </w:pPr>
      <w:bookmarkStart w:id="151" w:name="_Toc2956"/>
      <w:bookmarkStart w:id="152" w:name="_Toc30765"/>
      <w:bookmarkStart w:id="153" w:name="_Toc14864"/>
      <w:bookmarkStart w:id="154" w:name="_Toc11555"/>
      <w:bookmarkStart w:id="155" w:name="_Toc10063"/>
      <w:bookmarkStart w:id="156" w:name="_Toc20434"/>
      <w:bookmarkStart w:id="157" w:name="_Toc30832"/>
      <w:bookmarkStart w:id="158" w:name="_Toc14304"/>
      <w:bookmarkStart w:id="159" w:name="_Toc30693"/>
      <w:bookmarkStart w:id="160" w:name="_Toc27660"/>
      <w:r>
        <w:rPr>
          <w:rFonts w:hint="eastAsia" w:ascii="仿宋_GB2312" w:hAnsi="楷体" w:eastAsia="仿宋_GB2312" w:cs="Times New Roman"/>
          <w:b/>
          <w:color w:val="auto"/>
          <w:kern w:val="0"/>
          <w:sz w:val="32"/>
          <w:szCs w:val="28"/>
        </w:rPr>
        <w:t>2.可持续性影响</w:t>
      </w:r>
      <w:bookmarkEnd w:id="151"/>
      <w:bookmarkEnd w:id="152"/>
      <w:bookmarkEnd w:id="153"/>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1）宣传各类优秀妇女典型，发挥了典型的引领作用，广泛发掘选树各领域优秀妇女，推荐1人当选全国三八红旗手标兵，9人当选全国三八红旗手，7个集体当选全国三八红旗集体，联动各主流媒体挖掘宣传在防汛救灾一线的先进女性典型，发挥榜样引领作用；与北京广播电视台联合开设“致敬首都最美巾帼奋斗者”专栏，深入报道妇女十三大代表等优秀女性事迹，凝聚起积极向上的奋斗力量，</w:t>
      </w:r>
      <w:r>
        <w:rPr>
          <w:rFonts w:hint="eastAsia" w:ascii="仿宋_GB2312" w:hAnsi="仿宋_GB2312" w:eastAsia="仿宋_GB2312" w:cs="仿宋_GB2312"/>
          <w:sz w:val="32"/>
          <w:szCs w:val="32"/>
        </w:rPr>
        <w:t>激励更多女性奋勇拼搏、建功立业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Cs/>
          <w:color w:val="auto"/>
          <w:kern w:val="0"/>
          <w:sz w:val="32"/>
          <w:szCs w:val="28"/>
          <w:lang w:eastAsia="zh-CN"/>
        </w:rPr>
      </w:pPr>
      <w:r>
        <w:rPr>
          <w:rFonts w:hint="eastAsia" w:ascii="仿宋_GB2312" w:hAnsi="楷体" w:eastAsia="仿宋_GB2312" w:cs="Times New Roman"/>
          <w:bCs/>
          <w:color w:val="auto"/>
          <w:kern w:val="0"/>
          <w:sz w:val="32"/>
          <w:szCs w:val="28"/>
        </w:rPr>
        <w:t>（2）加强妇女思想政治引领</w:t>
      </w:r>
      <w:r>
        <w:rPr>
          <w:rFonts w:hint="eastAsia" w:ascii="仿宋_GB2312" w:hAnsi="楷体" w:eastAsia="仿宋_GB2312" w:cs="Times New Roman"/>
          <w:bCs/>
          <w:color w:val="auto"/>
          <w:kern w:val="0"/>
          <w:sz w:val="32"/>
          <w:szCs w:val="28"/>
          <w:lang w:eastAsia="zh-CN"/>
        </w:rPr>
        <w:t>，</w:t>
      </w:r>
      <w:r>
        <w:rPr>
          <w:rFonts w:hint="eastAsia" w:ascii="仿宋_GB2312" w:hAnsi="楷体" w:eastAsia="仿宋_GB2312" w:cs="Times New Roman"/>
          <w:bCs/>
          <w:color w:val="auto"/>
          <w:kern w:val="0"/>
          <w:sz w:val="32"/>
          <w:szCs w:val="28"/>
          <w:lang w:val="en-US" w:eastAsia="zh-CN"/>
        </w:rPr>
        <w:t>始终</w:t>
      </w:r>
      <w:r>
        <w:rPr>
          <w:rFonts w:hint="eastAsia" w:ascii="仿宋_GB2312" w:hAnsi="楷体" w:eastAsia="仿宋_GB2312" w:cs="Times New Roman"/>
          <w:bCs/>
          <w:color w:val="auto"/>
          <w:kern w:val="0"/>
          <w:sz w:val="32"/>
          <w:szCs w:val="28"/>
          <w:lang w:eastAsia="zh-CN"/>
        </w:rPr>
        <w:t>把握妇联组织政治属性，坚持以习近平新时代中国特色社会主义思想团结引领广大妇女，</w:t>
      </w:r>
      <w:r>
        <w:rPr>
          <w:rFonts w:hint="eastAsia" w:ascii="仿宋_GB2312" w:hAnsi="楷体" w:eastAsia="仿宋_GB2312" w:cs="Times New Roman"/>
          <w:bCs/>
          <w:color w:val="auto"/>
          <w:kern w:val="0"/>
          <w:sz w:val="32"/>
          <w:szCs w:val="28"/>
          <w:lang w:val="en-US" w:eastAsia="zh-CN"/>
        </w:rPr>
        <w:t>充分利用城乡妇女儿童之家等阵地，策划开展“巾帼心向党”系列活动，深化理想信念教育；面向党的二十大基层女代表、三八红旗手、最美家庭等开展赠书活动，掀起学习热潮,举办全市性读书活动；开展“巾帼大宣讲”，组织动员党的二十大基层女代表深入高校、爱国主义教育基地等地进行宣讲，持续推动党的创新理论深入基层</w:t>
      </w:r>
      <w:r>
        <w:rPr>
          <w:rFonts w:hint="eastAsia" w:ascii="仿宋_GB2312" w:hAnsi="楷体" w:eastAsia="仿宋_GB2312" w:cs="Times New Roman"/>
          <w:bCs/>
          <w:color w:val="auto"/>
          <w:kern w:val="0"/>
          <w:sz w:val="32"/>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Cs/>
          <w:color w:val="auto"/>
          <w:kern w:val="0"/>
          <w:sz w:val="32"/>
          <w:szCs w:val="28"/>
        </w:rPr>
        <w:t>（</w:t>
      </w:r>
      <w:r>
        <w:rPr>
          <w:rFonts w:hint="eastAsia" w:ascii="仿宋_GB2312" w:hAnsi="楷体" w:eastAsia="仿宋_GB2312" w:cs="Times New Roman"/>
          <w:bCs/>
          <w:color w:val="auto"/>
          <w:kern w:val="0"/>
          <w:sz w:val="32"/>
          <w:szCs w:val="28"/>
          <w:lang w:val="en-US" w:eastAsia="zh-CN"/>
        </w:rPr>
        <w:t>3</w:t>
      </w:r>
      <w:r>
        <w:rPr>
          <w:rFonts w:hint="eastAsia" w:ascii="仿宋_GB2312" w:hAnsi="楷体" w:eastAsia="仿宋_GB2312" w:cs="Times New Roman"/>
          <w:bCs/>
          <w:color w:val="auto"/>
          <w:kern w:val="0"/>
          <w:sz w:val="32"/>
          <w:szCs w:val="28"/>
        </w:rPr>
        <w:t>）提供家庭教育指导服务</w:t>
      </w:r>
      <w:r>
        <w:rPr>
          <w:rFonts w:hint="eastAsia" w:ascii="仿宋_GB2312" w:hAnsi="楷体" w:eastAsia="仿宋_GB2312" w:cs="Times New Roman"/>
          <w:bCs/>
          <w:color w:val="auto"/>
          <w:kern w:val="0"/>
          <w:sz w:val="32"/>
          <w:szCs w:val="28"/>
          <w:lang w:eastAsia="zh-CN"/>
        </w:rPr>
        <w:t>，进一步完善</w:t>
      </w:r>
      <w:r>
        <w:rPr>
          <w:rFonts w:hint="eastAsia" w:ascii="仿宋_GB2312" w:hAnsi="楷体" w:eastAsia="仿宋_GB2312" w:cs="Times New Roman"/>
          <w:bCs/>
          <w:color w:val="auto"/>
          <w:kern w:val="0"/>
          <w:sz w:val="32"/>
          <w:szCs w:val="28"/>
          <w:lang w:val="en-US" w:eastAsia="zh-CN"/>
        </w:rPr>
        <w:t>了</w:t>
      </w:r>
      <w:r>
        <w:rPr>
          <w:rFonts w:hint="eastAsia" w:ascii="仿宋_GB2312" w:hAnsi="楷体" w:eastAsia="仿宋_GB2312" w:cs="Times New Roman"/>
          <w:bCs/>
          <w:color w:val="auto"/>
          <w:kern w:val="0"/>
          <w:sz w:val="32"/>
          <w:szCs w:val="28"/>
          <w:lang w:eastAsia="zh-CN"/>
        </w:rPr>
        <w:t>各区级中心常态化沟通机制，建立</w:t>
      </w:r>
      <w:r>
        <w:rPr>
          <w:rFonts w:hint="eastAsia" w:ascii="仿宋_GB2312" w:hAnsi="楷体" w:eastAsia="仿宋_GB2312" w:cs="Times New Roman"/>
          <w:bCs/>
          <w:color w:val="auto"/>
          <w:kern w:val="0"/>
          <w:sz w:val="32"/>
          <w:szCs w:val="28"/>
          <w:lang w:val="en-US" w:eastAsia="zh-CN"/>
        </w:rPr>
        <w:t>了</w:t>
      </w:r>
      <w:r>
        <w:rPr>
          <w:rFonts w:hint="eastAsia" w:ascii="仿宋_GB2312" w:hAnsi="楷体" w:eastAsia="仿宋_GB2312" w:cs="Times New Roman"/>
          <w:bCs/>
          <w:color w:val="auto"/>
          <w:kern w:val="0"/>
          <w:sz w:val="32"/>
          <w:szCs w:val="28"/>
          <w:lang w:eastAsia="zh-CN"/>
        </w:rPr>
        <w:t>常态化指导工作机制，制定《区级家庭教育指导中心常态化指导工作方案》，在征求专家意见基础上，为各区级中心匹配专家，结成“一对一”指导关系</w:t>
      </w:r>
      <w:r>
        <w:rPr>
          <w:rFonts w:hint="eastAsia" w:ascii="仿宋_GB2312" w:hAnsi="楷体" w:eastAsia="仿宋_GB2312" w:cs="Times New Roman"/>
          <w:b w:val="0"/>
          <w:bCs/>
          <w:color w:val="auto"/>
          <w:kern w:val="0"/>
          <w:sz w:val="32"/>
          <w:szCs w:val="28"/>
          <w:lang w:val="en-US" w:eastAsia="zh-CN" w:bidi="ar-SA"/>
        </w:rPr>
        <w:t>，更好地引导家长更好地承担家庭教育主体责任。</w:t>
      </w:r>
      <w:r>
        <w:rPr>
          <w:rFonts w:hint="eastAsia" w:ascii="仿宋_GB2312" w:hAnsi="仿宋_GB2312" w:eastAsia="仿宋_GB2312" w:cs="仿宋_GB2312"/>
          <w:sz w:val="32"/>
          <w:szCs w:val="32"/>
        </w:rPr>
        <w:t>积极参与推动优化生育政策落地，为儿童全面健康成长提供有力支持，助力家庭家教家风建设迈上新台阶</w:t>
      </w:r>
      <w:r>
        <w:rPr>
          <w:rFonts w:hint="eastAsia" w:ascii="仿宋_GB2312" w:hAnsi="楷体" w:eastAsia="仿宋_GB2312" w:cs="Times New Roman"/>
          <w:b w:val="0"/>
          <w:bCs/>
          <w:color w:val="auto"/>
          <w:kern w:val="0"/>
          <w:sz w:val="32"/>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（4）</w:t>
      </w:r>
      <w:r>
        <w:rPr>
          <w:rFonts w:hint="eastAsia" w:ascii="仿宋_GB2312" w:hAnsi="仿宋_GB2312" w:eastAsia="仿宋_GB2312" w:cs="仿宋_GB2312"/>
          <w:b w:val="0"/>
          <w:bCs w:val="0"/>
          <w:color w:val="auto"/>
          <w:kern w:val="2"/>
          <w:sz w:val="32"/>
          <w:szCs w:val="32"/>
          <w:highlight w:val="none"/>
          <w:u w:val="none"/>
          <w:lang w:val="en-US" w:eastAsia="zh-CN" w:bidi="ar-SA"/>
        </w:rPr>
        <w:t>宣介北京妇女儿童事业发展成就，积极在欧亚妇女论坛及其框架下的金砖国家妇女事务部长级会议、联合国人权理事会等国际会议发言。全力服务2024年中非合作论坛北京峰会等重大主场外交活动，以及“开往春天的列车”等妇女公共外交活动。</w:t>
      </w:r>
      <w:r>
        <w:rPr>
          <w:rFonts w:hint="eastAsia" w:ascii="仿宋_GB2312" w:hAnsi="仿宋_GB2312" w:eastAsia="仿宋_GB2312" w:cs="仿宋_GB2312"/>
          <w:sz w:val="32"/>
          <w:szCs w:val="32"/>
        </w:rPr>
        <w:t>热情</w:t>
      </w:r>
      <w:r>
        <w:rPr>
          <w:rFonts w:hint="eastAsia" w:ascii="仿宋_GB2312" w:hAnsi="仿宋_GB2312" w:eastAsia="仿宋_GB2312" w:cs="仿宋_GB2312"/>
          <w:b w:val="0"/>
          <w:bCs w:val="0"/>
          <w:color w:val="auto"/>
          <w:kern w:val="2"/>
          <w:sz w:val="32"/>
          <w:szCs w:val="32"/>
          <w:highlight w:val="none"/>
          <w:u w:val="none"/>
          <w:lang w:val="en-US" w:eastAsia="zh-CN" w:bidi="ar-SA"/>
        </w:rPr>
        <w:t>接待联合国副秘书长、妇女署执行主任巴胡斯以及多国政要、妇女组织负责人，巴胡斯一行参访顺义区妇女儿童社会服务中心后，</w:t>
      </w:r>
      <w:r>
        <w:rPr>
          <w:rFonts w:hint="eastAsia" w:ascii="仿宋_GB2312" w:hAnsi="仿宋_GB2312" w:eastAsia="仿宋_GB2312" w:cs="仿宋_GB2312"/>
          <w:sz w:val="32"/>
          <w:szCs w:val="32"/>
        </w:rPr>
        <w:t>对北京妇女儿童工作给予高度评价，</w:t>
      </w:r>
      <w:r>
        <w:rPr>
          <w:rFonts w:hint="eastAsia" w:ascii="仿宋_GB2312" w:hAnsi="仿宋_GB2312" w:eastAsia="仿宋_GB2312" w:cs="仿宋_GB2312"/>
          <w:sz w:val="32"/>
          <w:szCs w:val="32"/>
          <w:lang w:val="en-US" w:eastAsia="zh-CN"/>
        </w:rPr>
        <w:t>感到</w:t>
      </w:r>
      <w:r>
        <w:rPr>
          <w:rFonts w:hint="eastAsia" w:ascii="仿宋_GB2312" w:hAnsi="仿宋_GB2312" w:eastAsia="仿宋_GB2312" w:cs="仿宋_GB2312"/>
          <w:sz w:val="32"/>
          <w:szCs w:val="32"/>
        </w:rPr>
        <w:t>深受鼓舞与钦佩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通过国际交流合作，提升了北京妇女儿童事业的国际影响力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cs="Times New Roman"/>
          <w:b/>
          <w:color w:val="auto"/>
          <w:kern w:val="0"/>
          <w:sz w:val="32"/>
          <w:szCs w:val="28"/>
        </w:rPr>
      </w:pPr>
      <w:bookmarkStart w:id="161" w:name="_Toc5517"/>
      <w:bookmarkStart w:id="162" w:name="_Toc31695"/>
      <w:bookmarkStart w:id="163" w:name="_Toc30518"/>
      <w:bookmarkStart w:id="164" w:name="_Toc25141"/>
      <w:bookmarkStart w:id="165" w:name="_Toc25122"/>
      <w:bookmarkStart w:id="166" w:name="_Toc31106"/>
      <w:bookmarkStart w:id="167" w:name="_Toc24273"/>
      <w:bookmarkStart w:id="168" w:name="_Toc18727"/>
      <w:bookmarkStart w:id="169" w:name="_Toc1804"/>
      <w:bookmarkStart w:id="170" w:name="_Toc31377"/>
      <w:r>
        <w:rPr>
          <w:rFonts w:hint="eastAsia" w:ascii="仿宋_GB2312" w:hAnsi="楷体" w:eastAsia="仿宋_GB2312" w:cs="Times New Roman"/>
          <w:b/>
          <w:color w:val="auto"/>
          <w:kern w:val="0"/>
          <w:sz w:val="32"/>
          <w:szCs w:val="28"/>
        </w:rPr>
        <w:t>3.服务对象满意度</w:t>
      </w:r>
      <w:bookmarkEnd w:id="161"/>
      <w:bookmarkEnd w:id="162"/>
      <w:bookmarkEnd w:id="163"/>
      <w:bookmarkEnd w:id="164"/>
      <w:bookmarkEnd w:id="165"/>
      <w:bookmarkEnd w:id="166"/>
      <w:bookmarkEnd w:id="167"/>
      <w:bookmarkEnd w:id="168"/>
      <w:bookmarkEnd w:id="169"/>
      <w:bookmarkEnd w:id="170"/>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市妇联立足源头维权、机制维权、社会化维权主责主业，持续深入推进妇女维权工作，切实解决妇女群众关心关注的热点难点问题，让广大妇女群众真切感受到党的关怀和温暖。积极团结和引领社会组织从业人员听党话、跟党走，组织开展丰富多彩的党建及交流活动，参与成员对活动给予高度评价。同时，广泛宣传贯彻男女平等基本国策、儿童优先原则，通过多种渠道提升儿童友好城市建设的知晓度与参与度，在全社会营造出尊重妇女、关爱儿童的良好社会氛围，有力促进了妇女全面发展、儿童健康成长，赢得了服务对象的高度认可和好评。</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0"/>
        <w:rPr>
          <w:rFonts w:ascii="黑体" w:hAnsi="黑体" w:eastAsia="黑体" w:cs="宋体"/>
          <w:color w:val="auto"/>
          <w:kern w:val="0"/>
          <w:sz w:val="32"/>
          <w:szCs w:val="32"/>
        </w:rPr>
      </w:pPr>
      <w:bookmarkStart w:id="171" w:name="_Toc12225"/>
      <w:bookmarkStart w:id="172" w:name="_Toc15095"/>
      <w:bookmarkStart w:id="173" w:name="_Toc16230"/>
      <w:bookmarkStart w:id="174" w:name="_Toc12568"/>
      <w:bookmarkStart w:id="175" w:name="_Toc6179"/>
      <w:bookmarkStart w:id="176" w:name="_Toc3672"/>
      <w:bookmarkStart w:id="177" w:name="_Toc17610"/>
      <w:bookmarkStart w:id="178" w:name="_Toc18878"/>
      <w:bookmarkStart w:id="179" w:name="_Toc22383"/>
      <w:bookmarkStart w:id="180" w:name="_Toc31490"/>
      <w:bookmarkStart w:id="181" w:name="_Toc26478"/>
      <w:r>
        <w:rPr>
          <w:rFonts w:hint="eastAsia" w:ascii="黑体" w:hAnsi="黑体" w:eastAsia="黑体" w:cs="宋体"/>
          <w:color w:val="auto"/>
          <w:kern w:val="0"/>
          <w:sz w:val="32"/>
          <w:szCs w:val="32"/>
        </w:rPr>
        <w:t>四</w:t>
      </w:r>
      <w:r>
        <w:rPr>
          <w:rFonts w:ascii="黑体" w:hAnsi="黑体" w:eastAsia="黑体" w:cs="宋体"/>
          <w:color w:val="auto"/>
          <w:kern w:val="0"/>
          <w:sz w:val="32"/>
          <w:szCs w:val="32"/>
        </w:rPr>
        <w:t>、预算管理</w:t>
      </w:r>
      <w:r>
        <w:rPr>
          <w:rFonts w:hint="eastAsia" w:ascii="黑体" w:hAnsi="黑体" w:eastAsia="黑体" w:cs="宋体"/>
          <w:color w:val="auto"/>
          <w:kern w:val="0"/>
          <w:sz w:val="32"/>
          <w:szCs w:val="32"/>
        </w:rPr>
        <w:t>情况分</w:t>
      </w:r>
      <w:r>
        <w:rPr>
          <w:rFonts w:ascii="黑体" w:hAnsi="黑体" w:eastAsia="黑体" w:cs="宋体"/>
          <w:color w:val="auto"/>
          <w:kern w:val="0"/>
          <w:sz w:val="32"/>
          <w:szCs w:val="32"/>
        </w:rPr>
        <w:t>析</w:t>
      </w:r>
      <w:bookmarkEnd w:id="171"/>
      <w:bookmarkEnd w:id="172"/>
      <w:bookmarkEnd w:id="173"/>
      <w:bookmarkEnd w:id="174"/>
      <w:bookmarkEnd w:id="175"/>
      <w:bookmarkEnd w:id="176"/>
      <w:bookmarkEnd w:id="177"/>
      <w:bookmarkEnd w:id="178"/>
      <w:bookmarkEnd w:id="179"/>
      <w:bookmarkEnd w:id="180"/>
      <w:bookmarkEnd w:id="181"/>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1"/>
        <w:rPr>
          <w:rFonts w:ascii="楷体" w:hAnsi="楷体" w:eastAsia="楷体"/>
          <w:b/>
          <w:bCs/>
          <w:color w:val="auto"/>
          <w:sz w:val="32"/>
          <w:szCs w:val="32"/>
        </w:rPr>
      </w:pPr>
      <w:bookmarkStart w:id="182" w:name="_Toc15452"/>
      <w:bookmarkStart w:id="183" w:name="_Toc20637"/>
      <w:bookmarkStart w:id="184" w:name="_Toc6807"/>
      <w:bookmarkStart w:id="185" w:name="_Toc8409"/>
      <w:bookmarkStart w:id="186" w:name="_Toc26751"/>
      <w:bookmarkStart w:id="187" w:name="_Toc24185"/>
      <w:bookmarkStart w:id="188" w:name="_Toc15154"/>
      <w:bookmarkStart w:id="189" w:name="_Toc3442"/>
      <w:bookmarkStart w:id="190" w:name="_Toc26878"/>
      <w:bookmarkStart w:id="191" w:name="_Toc629"/>
      <w:bookmarkStart w:id="192" w:name="_Toc31205"/>
      <w:r>
        <w:rPr>
          <w:rFonts w:hint="eastAsia" w:ascii="楷体" w:hAnsi="楷体" w:eastAsia="楷体"/>
          <w:b/>
          <w:bCs/>
          <w:color w:val="auto"/>
          <w:sz w:val="32"/>
          <w:szCs w:val="32"/>
        </w:rPr>
        <w:t>（一）财务管理</w:t>
      </w:r>
      <w:bookmarkEnd w:id="182"/>
      <w:bookmarkEnd w:id="183"/>
      <w:bookmarkEnd w:id="184"/>
      <w:bookmarkEnd w:id="185"/>
      <w:bookmarkEnd w:id="186"/>
      <w:bookmarkEnd w:id="187"/>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ascii="仿宋_GB2312" w:hAnsi="楷体" w:eastAsia="仿宋_GB2312"/>
          <w:b/>
          <w:color w:val="auto"/>
          <w:kern w:val="0"/>
          <w:sz w:val="32"/>
          <w:szCs w:val="28"/>
        </w:rPr>
      </w:pPr>
      <w:bookmarkStart w:id="193" w:name="_Toc24845"/>
      <w:bookmarkStart w:id="194" w:name="_Toc10719"/>
      <w:bookmarkStart w:id="195" w:name="_Toc11315"/>
      <w:bookmarkStart w:id="196" w:name="_Toc29691"/>
      <w:bookmarkStart w:id="197" w:name="_Toc2195"/>
      <w:bookmarkStart w:id="198" w:name="_Toc2568"/>
      <w:bookmarkStart w:id="199" w:name="_Toc23737"/>
      <w:bookmarkStart w:id="200" w:name="_Toc6308"/>
      <w:bookmarkStart w:id="201" w:name="_Toc13007"/>
      <w:bookmarkStart w:id="202" w:name="_Toc13610"/>
      <w:bookmarkStart w:id="203" w:name="_Toc17822"/>
      <w:r>
        <w:rPr>
          <w:rFonts w:hint="eastAsia" w:ascii="仿宋_GB2312" w:hAnsi="楷体" w:eastAsia="仿宋_GB2312"/>
          <w:b/>
          <w:color w:val="auto"/>
          <w:kern w:val="0"/>
          <w:sz w:val="32"/>
          <w:szCs w:val="28"/>
        </w:rPr>
        <w:t>1.财务管理制度健全性</w:t>
      </w:r>
      <w:bookmarkEnd w:id="193"/>
      <w:bookmarkEnd w:id="194"/>
      <w:bookmarkEnd w:id="195"/>
      <w:bookmarkEnd w:id="196"/>
      <w:bookmarkEnd w:id="197"/>
      <w:bookmarkEnd w:id="198"/>
      <w:bookmarkEnd w:id="199"/>
      <w:bookmarkEnd w:id="200"/>
      <w:bookmarkEnd w:id="201"/>
      <w:bookmarkEnd w:id="202"/>
      <w:bookmarkEnd w:id="20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bCs/>
          <w:color w:val="auto"/>
          <w:kern w:val="0"/>
          <w:sz w:val="32"/>
          <w:szCs w:val="28"/>
          <w:lang w:eastAsia="zh-CN"/>
        </w:rPr>
      </w:pPr>
      <w:r>
        <w:rPr>
          <w:rFonts w:hint="eastAsia" w:ascii="仿宋_GB2312" w:hAnsi="楷体" w:eastAsia="仿宋_GB2312"/>
          <w:bCs/>
          <w:color w:val="auto"/>
          <w:kern w:val="0"/>
          <w:sz w:val="32"/>
          <w:szCs w:val="28"/>
          <w:lang w:val="en-US" w:eastAsia="zh-CN"/>
        </w:rPr>
        <w:t>2024年度，根据财政相关要求及审计内控检查建议，</w:t>
      </w:r>
      <w:r>
        <w:rPr>
          <w:rFonts w:hint="eastAsia" w:ascii="仿宋_GB2312" w:hAnsi="楷体" w:eastAsia="仿宋_GB2312"/>
          <w:bCs/>
          <w:color w:val="auto"/>
          <w:kern w:val="0"/>
          <w:sz w:val="32"/>
          <w:szCs w:val="28"/>
        </w:rPr>
        <w:t>市妇联</w:t>
      </w:r>
      <w:r>
        <w:rPr>
          <w:rFonts w:hint="eastAsia" w:ascii="仿宋_GB2312" w:hAnsi="楷体" w:eastAsia="仿宋_GB2312"/>
          <w:bCs/>
          <w:color w:val="auto"/>
          <w:kern w:val="0"/>
          <w:sz w:val="32"/>
          <w:szCs w:val="28"/>
          <w:lang w:val="en-US" w:eastAsia="zh-CN"/>
        </w:rPr>
        <w:t>修订完善了一系列</w:t>
      </w:r>
      <w:r>
        <w:rPr>
          <w:rFonts w:hint="eastAsia" w:ascii="仿宋_GB2312" w:hAnsi="楷体" w:eastAsia="仿宋_GB2312"/>
          <w:bCs/>
          <w:color w:val="auto"/>
          <w:kern w:val="0"/>
          <w:sz w:val="32"/>
          <w:szCs w:val="28"/>
          <w:lang w:eastAsia="zh-CN"/>
        </w:rPr>
        <w:t>内控</w:t>
      </w:r>
      <w:r>
        <w:rPr>
          <w:rFonts w:hint="eastAsia" w:ascii="仿宋_GB2312" w:hAnsi="楷体" w:eastAsia="仿宋_GB2312"/>
          <w:bCs/>
          <w:color w:val="auto"/>
          <w:kern w:val="0"/>
          <w:sz w:val="32"/>
          <w:szCs w:val="28"/>
        </w:rPr>
        <w:t>制度，</w:t>
      </w:r>
      <w:r>
        <w:rPr>
          <w:rFonts w:hint="eastAsia" w:ascii="仿宋_GB2312" w:hAnsi="楷体" w:eastAsia="仿宋_GB2312"/>
          <w:bCs/>
          <w:color w:val="auto"/>
          <w:kern w:val="0"/>
          <w:sz w:val="32"/>
          <w:szCs w:val="28"/>
          <w:lang w:eastAsia="zh-CN"/>
        </w:rPr>
        <w:t>其中</w:t>
      </w:r>
      <w:r>
        <w:rPr>
          <w:rFonts w:hint="eastAsia" w:ascii="仿宋_GB2312" w:hAnsi="楷体" w:eastAsia="仿宋_GB2312"/>
          <w:bCs/>
          <w:color w:val="auto"/>
          <w:kern w:val="0"/>
          <w:sz w:val="32"/>
          <w:szCs w:val="28"/>
        </w:rPr>
        <w:t>《中共北京市妇联党组会议事规则》</w:t>
      </w:r>
      <w:r>
        <w:rPr>
          <w:rFonts w:hint="eastAsia" w:ascii="仿宋_GB2312" w:hAnsi="楷体" w:eastAsia="仿宋_GB2312"/>
          <w:bCs/>
          <w:color w:val="auto"/>
          <w:kern w:val="0"/>
          <w:sz w:val="32"/>
          <w:szCs w:val="28"/>
          <w:lang w:eastAsia="zh-CN"/>
        </w:rPr>
        <w:t>《北京市妇联第十四届主席办公会会议规则》</w:t>
      </w:r>
      <w:r>
        <w:rPr>
          <w:rFonts w:hint="eastAsia" w:ascii="仿宋_GB2312" w:hAnsi="楷体" w:eastAsia="仿宋_GB2312"/>
          <w:bCs/>
          <w:color w:val="auto"/>
          <w:kern w:val="0"/>
          <w:sz w:val="32"/>
          <w:szCs w:val="28"/>
        </w:rPr>
        <w:t>《北京市妇联党组“三重一大”事项决策实施办法（试行）》《北京市妇女联合会预算管理办法》《北京市妇女联合会经费支出管理办法》《北京市妇女联合会采购管理办法》</w:t>
      </w:r>
      <w:r>
        <w:rPr>
          <w:rFonts w:hint="eastAsia" w:ascii="仿宋_GB2312" w:hAnsi="楷体" w:eastAsia="仿宋_GB2312"/>
          <w:bCs/>
          <w:color w:val="auto"/>
          <w:kern w:val="0"/>
          <w:sz w:val="32"/>
          <w:szCs w:val="28"/>
          <w:lang w:eastAsia="zh-CN"/>
        </w:rPr>
        <w:t>《北京市妇女联合会国有资产管理办法》</w:t>
      </w:r>
      <w:r>
        <w:rPr>
          <w:rFonts w:hint="eastAsia" w:ascii="仿宋_GB2312" w:hAnsi="楷体" w:eastAsia="仿宋_GB2312"/>
          <w:bCs/>
          <w:color w:val="auto"/>
          <w:kern w:val="0"/>
          <w:sz w:val="32"/>
          <w:szCs w:val="28"/>
        </w:rPr>
        <w:t>《北京市妇女联合会合同管理办法》等相关管理制度，</w:t>
      </w:r>
      <w:r>
        <w:rPr>
          <w:rFonts w:hint="eastAsia" w:ascii="仿宋_GB2312" w:hAnsi="楷体" w:eastAsia="仿宋_GB2312"/>
          <w:bCs/>
          <w:color w:val="auto"/>
          <w:kern w:val="0"/>
          <w:sz w:val="32"/>
          <w:szCs w:val="28"/>
          <w:lang w:val="en-US" w:eastAsia="zh-CN"/>
        </w:rPr>
        <w:t>进一步明确了单位内部重大事项议事决策机制，以及</w:t>
      </w:r>
      <w:r>
        <w:rPr>
          <w:rFonts w:hint="eastAsia" w:ascii="仿宋_GB2312" w:hAnsi="楷体" w:eastAsia="仿宋_GB2312"/>
          <w:bCs/>
          <w:color w:val="auto"/>
          <w:kern w:val="0"/>
          <w:sz w:val="32"/>
          <w:szCs w:val="28"/>
        </w:rPr>
        <w:t>预算</w:t>
      </w:r>
      <w:r>
        <w:rPr>
          <w:rFonts w:hint="eastAsia" w:ascii="仿宋_GB2312" w:hAnsi="楷体" w:eastAsia="仿宋_GB2312"/>
          <w:bCs/>
          <w:color w:val="auto"/>
          <w:kern w:val="0"/>
          <w:sz w:val="32"/>
          <w:szCs w:val="28"/>
          <w:lang w:val="en-US" w:eastAsia="zh-CN"/>
        </w:rPr>
        <w:t>管理</w:t>
      </w:r>
      <w:r>
        <w:rPr>
          <w:rFonts w:hint="eastAsia" w:ascii="仿宋_GB2312" w:hAnsi="楷体" w:eastAsia="仿宋_GB2312"/>
          <w:bCs/>
          <w:color w:val="auto"/>
          <w:kern w:val="0"/>
          <w:sz w:val="32"/>
          <w:szCs w:val="28"/>
        </w:rPr>
        <w:t>、收支</w:t>
      </w:r>
      <w:r>
        <w:rPr>
          <w:rFonts w:hint="eastAsia" w:ascii="仿宋_GB2312" w:hAnsi="楷体" w:eastAsia="仿宋_GB2312"/>
          <w:bCs/>
          <w:color w:val="auto"/>
          <w:kern w:val="0"/>
          <w:sz w:val="32"/>
          <w:szCs w:val="28"/>
          <w:lang w:val="en-US" w:eastAsia="zh-CN"/>
        </w:rPr>
        <w:t>管理</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采购管理</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国有</w:t>
      </w:r>
      <w:r>
        <w:rPr>
          <w:rFonts w:hint="eastAsia" w:ascii="仿宋_GB2312" w:hAnsi="楷体" w:eastAsia="仿宋_GB2312"/>
          <w:bCs/>
          <w:color w:val="auto"/>
          <w:kern w:val="0"/>
          <w:sz w:val="32"/>
          <w:szCs w:val="28"/>
        </w:rPr>
        <w:t>资产管理、合同管理等</w:t>
      </w:r>
      <w:r>
        <w:rPr>
          <w:rFonts w:hint="eastAsia" w:ascii="仿宋_GB2312" w:hAnsi="楷体" w:eastAsia="仿宋_GB2312"/>
          <w:bCs/>
          <w:color w:val="auto"/>
          <w:kern w:val="0"/>
          <w:sz w:val="32"/>
          <w:szCs w:val="28"/>
          <w:lang w:val="en-US" w:eastAsia="zh-CN"/>
        </w:rPr>
        <w:t>制度和业务流程</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并完善了业务相关归口部门及关键岗位职责分</w:t>
      </w:r>
      <w:r>
        <w:rPr>
          <w:rFonts w:hint="eastAsia" w:ascii="仿宋_GB2312" w:hAnsi="楷体" w:eastAsia="仿宋_GB2312"/>
          <w:bCs/>
          <w:color w:val="auto"/>
          <w:kern w:val="0"/>
          <w:sz w:val="32"/>
          <w:szCs w:val="28"/>
          <w:highlight w:val="none"/>
          <w:lang w:val="en-US" w:eastAsia="zh-CN"/>
        </w:rPr>
        <w:t>工。《北京市妇女联合会内部控制评价管理办法》《北京市妇女联合会内部控制风险评估工作实施管理办法》</w:t>
      </w:r>
      <w:r>
        <w:rPr>
          <w:rFonts w:hint="eastAsia" w:ascii="仿宋_GB2312" w:hAnsi="楷体" w:eastAsia="仿宋_GB2312"/>
          <w:bCs/>
          <w:color w:val="auto"/>
          <w:kern w:val="0"/>
          <w:sz w:val="32"/>
          <w:szCs w:val="28"/>
          <w:highlight w:val="none"/>
          <w:lang w:eastAsia="zh-CN"/>
        </w:rPr>
        <w:t>《</w:t>
      </w:r>
      <w:r>
        <w:rPr>
          <w:rFonts w:hint="eastAsia" w:ascii="仿宋_GB2312" w:hAnsi="楷体" w:eastAsia="仿宋_GB2312"/>
          <w:bCs/>
          <w:color w:val="auto"/>
          <w:kern w:val="0"/>
          <w:sz w:val="32"/>
          <w:szCs w:val="28"/>
          <w:highlight w:val="none"/>
          <w:lang w:val="en-US" w:eastAsia="zh-CN"/>
        </w:rPr>
        <w:t>北京市妇女联合会内部审计工作规定</w:t>
      </w:r>
      <w:r>
        <w:rPr>
          <w:rFonts w:hint="eastAsia" w:ascii="仿宋_GB2312" w:hAnsi="楷体" w:eastAsia="仿宋_GB2312"/>
          <w:bCs/>
          <w:color w:val="auto"/>
          <w:kern w:val="0"/>
          <w:sz w:val="32"/>
          <w:szCs w:val="28"/>
          <w:highlight w:val="none"/>
          <w:lang w:eastAsia="zh-CN"/>
        </w:rPr>
        <w:t>》</w:t>
      </w:r>
      <w:bookmarkStart w:id="204" w:name="_Toc20393"/>
      <w:bookmarkStart w:id="205" w:name="_Toc9714"/>
      <w:r>
        <w:rPr>
          <w:rFonts w:hint="eastAsia" w:ascii="仿宋_GB2312" w:hAnsi="楷体" w:eastAsia="仿宋_GB2312"/>
          <w:bCs/>
          <w:color w:val="auto"/>
          <w:kern w:val="0"/>
          <w:sz w:val="32"/>
          <w:szCs w:val="28"/>
          <w:highlight w:val="none"/>
          <w:lang w:eastAsia="zh-CN"/>
        </w:rPr>
        <w:t>《北京市妇女联合会</w:t>
      </w:r>
      <w:bookmarkEnd w:id="204"/>
      <w:bookmarkEnd w:id="205"/>
      <w:bookmarkStart w:id="206" w:name="_Toc8216"/>
      <w:bookmarkStart w:id="207" w:name="_Toc28613"/>
      <w:r>
        <w:rPr>
          <w:rFonts w:hint="eastAsia" w:ascii="仿宋_GB2312" w:hAnsi="楷体" w:eastAsia="仿宋_GB2312"/>
          <w:bCs/>
          <w:color w:val="auto"/>
          <w:kern w:val="0"/>
          <w:sz w:val="32"/>
          <w:szCs w:val="28"/>
          <w:highlight w:val="none"/>
          <w:lang w:eastAsia="zh-CN"/>
        </w:rPr>
        <w:t>内部财务信息公开管理办法（试行）</w:t>
      </w:r>
      <w:bookmarkEnd w:id="206"/>
      <w:bookmarkEnd w:id="207"/>
      <w:r>
        <w:rPr>
          <w:rFonts w:hint="eastAsia" w:ascii="仿宋_GB2312" w:hAnsi="楷体" w:eastAsia="仿宋_GB2312"/>
          <w:bCs/>
          <w:color w:val="auto"/>
          <w:kern w:val="0"/>
          <w:sz w:val="32"/>
          <w:szCs w:val="28"/>
          <w:highlight w:val="none"/>
          <w:lang w:eastAsia="zh-CN"/>
        </w:rPr>
        <w:t>》</w:t>
      </w:r>
      <w:r>
        <w:rPr>
          <w:rFonts w:hint="eastAsia" w:ascii="仿宋_GB2312" w:hAnsi="楷体" w:eastAsia="仿宋_GB2312"/>
          <w:bCs/>
          <w:color w:val="auto"/>
          <w:kern w:val="0"/>
          <w:sz w:val="32"/>
          <w:szCs w:val="28"/>
          <w:highlight w:val="none"/>
          <w:lang w:val="en-US" w:eastAsia="zh-CN"/>
        </w:rPr>
        <w:t>等办法</w:t>
      </w:r>
      <w:r>
        <w:rPr>
          <w:rFonts w:hint="eastAsia" w:ascii="仿宋_GB2312" w:hAnsi="楷体" w:eastAsia="仿宋_GB2312"/>
          <w:bCs/>
          <w:color w:val="auto"/>
          <w:kern w:val="0"/>
          <w:sz w:val="32"/>
          <w:szCs w:val="28"/>
          <w:highlight w:val="none"/>
          <w:lang w:eastAsia="zh-CN"/>
        </w:rPr>
        <w:t>，</w:t>
      </w:r>
      <w:r>
        <w:rPr>
          <w:rFonts w:hint="eastAsia" w:ascii="仿宋_GB2312" w:hAnsi="楷体" w:eastAsia="仿宋_GB2312"/>
          <w:bCs/>
          <w:color w:val="auto"/>
          <w:kern w:val="0"/>
          <w:sz w:val="32"/>
          <w:szCs w:val="28"/>
          <w:lang w:val="en-US" w:eastAsia="zh-CN"/>
        </w:rPr>
        <w:t>为内部财务管理工作提供较好的制度支撑，</w:t>
      </w:r>
      <w:r>
        <w:rPr>
          <w:rFonts w:hint="eastAsia" w:ascii="仿宋_GB2312" w:hAnsi="楷体" w:eastAsia="仿宋_GB2312"/>
          <w:bCs/>
          <w:color w:val="auto"/>
          <w:kern w:val="0"/>
          <w:sz w:val="32"/>
          <w:szCs w:val="28"/>
          <w:lang w:eastAsia="zh-CN"/>
        </w:rPr>
        <w:t>满足</w:t>
      </w:r>
      <w:r>
        <w:rPr>
          <w:rFonts w:hint="eastAsia" w:ascii="仿宋_GB2312" w:hAnsi="楷体" w:eastAsia="仿宋_GB2312"/>
          <w:bCs/>
          <w:color w:val="auto"/>
          <w:kern w:val="0"/>
          <w:sz w:val="32"/>
          <w:szCs w:val="28"/>
          <w:lang w:val="en-US" w:eastAsia="zh-CN"/>
        </w:rPr>
        <w:t>了单位日常财务管理</w:t>
      </w:r>
      <w:r>
        <w:rPr>
          <w:rFonts w:hint="eastAsia" w:ascii="仿宋_GB2312" w:hAnsi="楷体" w:eastAsia="仿宋_GB2312"/>
          <w:bCs/>
          <w:color w:val="auto"/>
          <w:kern w:val="0"/>
          <w:sz w:val="32"/>
          <w:szCs w:val="28"/>
          <w:lang w:eastAsia="zh-CN"/>
        </w:rPr>
        <w:t>的需要</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部门财务管理制度较</w:t>
      </w:r>
      <w:r>
        <w:rPr>
          <w:rFonts w:hint="eastAsia" w:ascii="仿宋_GB2312" w:hAnsi="楷体" w:eastAsia="仿宋_GB2312"/>
          <w:bCs/>
          <w:color w:val="auto"/>
          <w:kern w:val="0"/>
          <w:sz w:val="32"/>
          <w:szCs w:val="28"/>
          <w:lang w:val="en-US" w:eastAsia="zh-CN"/>
        </w:rPr>
        <w:t>为</w:t>
      </w:r>
      <w:r>
        <w:rPr>
          <w:rFonts w:hint="eastAsia" w:ascii="仿宋_GB2312" w:hAnsi="楷体" w:eastAsia="仿宋_GB2312"/>
          <w:bCs/>
          <w:color w:val="auto"/>
          <w:kern w:val="0"/>
          <w:sz w:val="32"/>
          <w:szCs w:val="28"/>
        </w:rPr>
        <w:t>健全</w:t>
      </w:r>
      <w:r>
        <w:rPr>
          <w:rFonts w:hint="eastAsia" w:ascii="仿宋_GB2312" w:hAnsi="楷体" w:eastAsia="仿宋_GB2312"/>
          <w:bCs/>
          <w:color w:val="auto"/>
          <w:kern w:val="0"/>
          <w:sz w:val="32"/>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b/>
          <w:color w:val="auto"/>
          <w:kern w:val="0"/>
          <w:sz w:val="32"/>
          <w:szCs w:val="28"/>
        </w:rPr>
      </w:pPr>
      <w:bookmarkStart w:id="208" w:name="_Toc16031"/>
      <w:bookmarkStart w:id="209" w:name="_Toc26587"/>
      <w:bookmarkStart w:id="210" w:name="_Toc19950"/>
      <w:bookmarkStart w:id="211" w:name="_Toc27884"/>
      <w:bookmarkStart w:id="212" w:name="_Toc19915"/>
      <w:bookmarkStart w:id="213" w:name="_Toc3446"/>
      <w:bookmarkStart w:id="214" w:name="_Toc32466"/>
      <w:bookmarkStart w:id="215" w:name="_Toc11053"/>
      <w:bookmarkStart w:id="216" w:name="_Toc9405"/>
      <w:bookmarkStart w:id="217" w:name="_Toc12600"/>
      <w:bookmarkStart w:id="218" w:name="_Toc31094"/>
      <w:r>
        <w:rPr>
          <w:rFonts w:hint="eastAsia" w:ascii="仿宋_GB2312" w:hAnsi="楷体" w:eastAsia="仿宋_GB2312"/>
          <w:b/>
          <w:color w:val="auto"/>
          <w:kern w:val="0"/>
          <w:sz w:val="32"/>
          <w:szCs w:val="28"/>
        </w:rPr>
        <w:t>2.资金使用合规性和安全性</w:t>
      </w:r>
      <w:bookmarkEnd w:id="208"/>
      <w:bookmarkEnd w:id="209"/>
      <w:bookmarkEnd w:id="210"/>
      <w:bookmarkEnd w:id="211"/>
      <w:bookmarkEnd w:id="212"/>
      <w:bookmarkEnd w:id="213"/>
      <w:bookmarkEnd w:id="214"/>
      <w:bookmarkEnd w:id="215"/>
      <w:bookmarkEnd w:id="216"/>
      <w:bookmarkEnd w:id="217"/>
      <w:bookmarkEnd w:id="21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rPr>
        <w:t>202</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rPr>
        <w:t>年，市妇联严格</w:t>
      </w:r>
      <w:r>
        <w:rPr>
          <w:rFonts w:hint="eastAsia" w:ascii="仿宋_GB2312" w:hAnsi="楷体" w:eastAsia="仿宋_GB2312"/>
          <w:bCs/>
          <w:color w:val="auto"/>
          <w:kern w:val="0"/>
          <w:sz w:val="32"/>
          <w:szCs w:val="28"/>
          <w:lang w:val="en-US" w:eastAsia="zh-CN"/>
        </w:rPr>
        <w:t>执行</w:t>
      </w:r>
      <w:r>
        <w:rPr>
          <w:rFonts w:hint="eastAsia" w:ascii="仿宋_GB2312" w:hAnsi="楷体" w:eastAsia="仿宋_GB2312"/>
          <w:bCs/>
          <w:color w:val="auto"/>
          <w:kern w:val="0"/>
          <w:sz w:val="32"/>
          <w:szCs w:val="28"/>
        </w:rPr>
        <w:t>政府会计准则</w:t>
      </w:r>
      <w:r>
        <w:rPr>
          <w:rFonts w:hint="eastAsia" w:ascii="仿宋_GB2312" w:hAnsi="楷体" w:eastAsia="仿宋_GB2312"/>
          <w:bCs/>
          <w:color w:val="auto"/>
          <w:kern w:val="0"/>
          <w:sz w:val="32"/>
          <w:szCs w:val="28"/>
          <w:lang w:val="en-US" w:eastAsia="zh-CN"/>
        </w:rPr>
        <w:t>及</w:t>
      </w:r>
      <w:r>
        <w:rPr>
          <w:rFonts w:hint="eastAsia" w:ascii="仿宋_GB2312" w:hAnsi="楷体" w:eastAsia="仿宋_GB2312"/>
          <w:bCs/>
          <w:color w:val="auto"/>
          <w:kern w:val="0"/>
          <w:sz w:val="32"/>
          <w:szCs w:val="28"/>
        </w:rPr>
        <w:t>制度</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严格执行</w:t>
      </w:r>
      <w:r>
        <w:rPr>
          <w:rFonts w:hint="eastAsia" w:ascii="仿宋_GB2312" w:hAnsi="楷体" w:eastAsia="仿宋_GB2312"/>
          <w:bCs/>
          <w:color w:val="auto"/>
          <w:kern w:val="0"/>
          <w:sz w:val="32"/>
          <w:szCs w:val="28"/>
        </w:rPr>
        <w:t>市级财政政策和部门预算管理相关规定与工作要求，</w:t>
      </w:r>
      <w:r>
        <w:rPr>
          <w:rFonts w:hint="eastAsia" w:ascii="仿宋_GB2312" w:hAnsi="楷体" w:eastAsia="仿宋_GB2312"/>
          <w:bCs/>
          <w:color w:val="auto"/>
          <w:kern w:val="0"/>
          <w:sz w:val="32"/>
          <w:szCs w:val="28"/>
          <w:lang w:val="en-US" w:eastAsia="zh-CN"/>
        </w:rPr>
        <w:t>根据修订完善的</w:t>
      </w:r>
      <w:r>
        <w:rPr>
          <w:rFonts w:hint="eastAsia" w:ascii="仿宋_GB2312" w:hAnsi="楷体" w:eastAsia="仿宋_GB2312"/>
          <w:bCs/>
          <w:color w:val="auto"/>
          <w:kern w:val="0"/>
          <w:sz w:val="32"/>
          <w:szCs w:val="28"/>
        </w:rPr>
        <w:t>《北京市妇女联合会制度汇编》</w:t>
      </w:r>
      <w:r>
        <w:rPr>
          <w:rFonts w:hint="eastAsia" w:ascii="仿宋_GB2312" w:hAnsi="仿宋_GB2312" w:eastAsia="仿宋_GB2312" w:cs="仿宋_GB2312"/>
          <w:i w:val="0"/>
          <w:iCs w:val="0"/>
          <w:caps w:val="0"/>
          <w:spacing w:val="0"/>
          <w:sz w:val="32"/>
          <w:szCs w:val="32"/>
          <w:shd w:val="clear" w:fill="FFFFFF"/>
        </w:rPr>
        <w:t>，</w:t>
      </w:r>
      <w:r>
        <w:rPr>
          <w:rFonts w:hint="eastAsia" w:ascii="仿宋_GB2312" w:hAnsi="仿宋_GB2312" w:eastAsia="仿宋_GB2312" w:cs="仿宋_GB2312"/>
          <w:i w:val="0"/>
          <w:iCs w:val="0"/>
          <w:caps w:val="0"/>
          <w:spacing w:val="0"/>
          <w:sz w:val="32"/>
          <w:szCs w:val="32"/>
          <w:shd w:val="clear" w:fill="FFFFFF"/>
          <w:lang w:val="en-US" w:eastAsia="zh-CN"/>
        </w:rPr>
        <w:t>进一步</w:t>
      </w:r>
      <w:r>
        <w:rPr>
          <w:rFonts w:hint="eastAsia" w:ascii="仿宋_GB2312" w:hAnsi="仿宋_GB2312" w:eastAsia="仿宋_GB2312" w:cs="仿宋_GB2312"/>
          <w:i w:val="0"/>
          <w:iCs w:val="0"/>
          <w:caps w:val="0"/>
          <w:spacing w:val="0"/>
          <w:sz w:val="32"/>
          <w:szCs w:val="32"/>
          <w:shd w:val="clear" w:fill="FFFFFF"/>
        </w:rPr>
        <w:t>推动财务工作朝着规范化、制度化和科学化的方向发展</w:t>
      </w:r>
      <w:r>
        <w:rPr>
          <w:rFonts w:hint="eastAsia" w:ascii="仿宋_GB2312" w:hAnsi="宋体" w:eastAsia="仿宋_GB2312" w:cs="宋体"/>
          <w:color w:val="auto"/>
          <w:kern w:val="0"/>
          <w:sz w:val="32"/>
          <w:szCs w:val="32"/>
          <w:highlight w:val="none"/>
        </w:rPr>
        <w:t>，</w:t>
      </w:r>
      <w:r>
        <w:rPr>
          <w:rFonts w:hint="eastAsia" w:ascii="仿宋_GB2312" w:hAnsi="仿宋_GB2312" w:eastAsia="仿宋_GB2312" w:cs="仿宋_GB2312"/>
          <w:i w:val="0"/>
          <w:iCs w:val="0"/>
          <w:caps w:val="0"/>
          <w:spacing w:val="0"/>
          <w:sz w:val="32"/>
          <w:szCs w:val="32"/>
          <w:shd w:val="clear" w:fill="FFFFFF"/>
        </w:rPr>
        <w:t>确保了财政资金的安全完整，切实降低了单位的运行成本，为单位各项工作的顺利开展提供了坚实保障</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bCs/>
          <w:color w:val="auto"/>
          <w:kern w:val="0"/>
          <w:sz w:val="32"/>
          <w:szCs w:val="28"/>
          <w:highlight w:val="none"/>
          <w:lang w:val="en-US" w:eastAsia="zh-CN"/>
        </w:rPr>
      </w:pPr>
      <w:r>
        <w:rPr>
          <w:rFonts w:hint="eastAsia" w:ascii="仿宋_GB2312" w:hAnsi="楷体" w:eastAsia="仿宋_GB2312"/>
          <w:bCs/>
          <w:color w:val="auto"/>
          <w:kern w:val="0"/>
          <w:sz w:val="32"/>
          <w:szCs w:val="28"/>
          <w:lang w:val="en-US" w:eastAsia="zh-CN"/>
        </w:rPr>
        <w:t>资金支出严格控制在预算批复范围内，各</w:t>
      </w:r>
      <w:r>
        <w:rPr>
          <w:rFonts w:hint="eastAsia" w:ascii="仿宋_GB2312" w:hAnsi="仿宋_GB2312" w:eastAsia="仿宋_GB2312" w:cs="仿宋_GB2312"/>
          <w:i w:val="0"/>
          <w:iCs w:val="0"/>
          <w:caps w:val="0"/>
          <w:spacing w:val="0"/>
          <w:sz w:val="32"/>
          <w:szCs w:val="32"/>
          <w:shd w:val="clear" w:fill="FFFFFF"/>
        </w:rPr>
        <w:t>项支出遵循“逐级申报、逐级审批、合理授权”的原则</w:t>
      </w:r>
      <w:r>
        <w:rPr>
          <w:rFonts w:hint="eastAsia" w:ascii="仿宋_GB2312" w:hAnsi="楷体" w:eastAsia="仿宋_GB2312"/>
          <w:bCs/>
          <w:color w:val="auto"/>
          <w:kern w:val="0"/>
          <w:sz w:val="32"/>
          <w:szCs w:val="28"/>
          <w:lang w:val="en-US" w:eastAsia="zh-CN"/>
        </w:rPr>
        <w:t>，</w:t>
      </w:r>
      <w:r>
        <w:rPr>
          <w:rFonts w:hint="eastAsia" w:ascii="仿宋_GB2312" w:hAnsi="仿宋_GB2312" w:eastAsia="仿宋_GB2312" w:cs="仿宋_GB2312"/>
          <w:i w:val="0"/>
          <w:iCs w:val="0"/>
          <w:caps w:val="0"/>
          <w:spacing w:val="0"/>
          <w:sz w:val="32"/>
          <w:szCs w:val="32"/>
          <w:shd w:val="clear" w:fill="FFFFFF"/>
        </w:rPr>
        <w:t>对资金使用的</w:t>
      </w:r>
      <w:r>
        <w:rPr>
          <w:rFonts w:hint="eastAsia" w:ascii="仿宋_GB2312" w:hAnsi="仿宋_GB2312" w:eastAsia="仿宋_GB2312" w:cs="仿宋_GB2312"/>
          <w:i w:val="0"/>
          <w:iCs w:val="0"/>
          <w:caps w:val="0"/>
          <w:spacing w:val="0"/>
          <w:sz w:val="32"/>
          <w:szCs w:val="32"/>
          <w:highlight w:val="none"/>
          <w:shd w:val="clear" w:fill="FFFFFF"/>
        </w:rPr>
        <w:t>各个环节进行严格把控。</w:t>
      </w:r>
      <w:r>
        <w:rPr>
          <w:rFonts w:hint="eastAsia" w:ascii="仿宋_GB2312" w:hAnsi="楷体" w:eastAsia="仿宋_GB2312"/>
          <w:bCs/>
          <w:color w:val="auto"/>
          <w:kern w:val="0"/>
          <w:sz w:val="32"/>
          <w:szCs w:val="28"/>
          <w:highlight w:val="none"/>
          <w:lang w:val="en-US" w:eastAsia="zh-CN"/>
        </w:rPr>
        <w:t>各项支出严格履行内部审批程序，</w:t>
      </w:r>
      <w:r>
        <w:rPr>
          <w:rFonts w:hint="eastAsia" w:ascii="仿宋_GB2312" w:hAnsi="楷体" w:eastAsia="仿宋_GB2312"/>
          <w:bCs/>
          <w:color w:val="auto"/>
          <w:kern w:val="0"/>
          <w:sz w:val="32"/>
          <w:szCs w:val="28"/>
          <w:highlight w:val="none"/>
        </w:rPr>
        <w:t>对于单项或批量金额在</w:t>
      </w:r>
      <w:r>
        <w:rPr>
          <w:rFonts w:hint="eastAsia" w:ascii="仿宋_GB2312" w:hAnsi="楷体" w:eastAsia="仿宋_GB2312"/>
          <w:bCs/>
          <w:color w:val="auto"/>
          <w:kern w:val="0"/>
          <w:sz w:val="32"/>
          <w:szCs w:val="28"/>
          <w:highlight w:val="none"/>
          <w:lang w:val="en-US" w:eastAsia="zh-CN"/>
        </w:rPr>
        <w:t>15</w:t>
      </w:r>
      <w:r>
        <w:rPr>
          <w:rFonts w:hint="eastAsia" w:ascii="仿宋_GB2312" w:hAnsi="楷体" w:eastAsia="仿宋_GB2312"/>
          <w:bCs/>
          <w:color w:val="auto"/>
          <w:kern w:val="0"/>
          <w:sz w:val="32"/>
          <w:szCs w:val="28"/>
          <w:highlight w:val="none"/>
        </w:rPr>
        <w:t>万元</w:t>
      </w:r>
      <w:r>
        <w:rPr>
          <w:rFonts w:hint="eastAsia" w:ascii="仿宋_GB2312" w:hAnsi="楷体" w:eastAsia="仿宋_GB2312"/>
          <w:bCs/>
          <w:color w:val="auto"/>
          <w:kern w:val="0"/>
          <w:sz w:val="32"/>
          <w:szCs w:val="28"/>
          <w:highlight w:val="none"/>
          <w:lang w:val="en-US" w:eastAsia="zh-CN"/>
        </w:rPr>
        <w:t>(2024年8月以后为30万元）</w:t>
      </w:r>
      <w:r>
        <w:rPr>
          <w:rFonts w:hint="eastAsia" w:ascii="仿宋_GB2312" w:hAnsi="楷体" w:eastAsia="仿宋_GB2312"/>
          <w:bCs/>
          <w:color w:val="auto"/>
          <w:kern w:val="0"/>
          <w:sz w:val="32"/>
          <w:szCs w:val="28"/>
          <w:highlight w:val="none"/>
          <w:lang w:eastAsia="zh-CN"/>
        </w:rPr>
        <w:t>及以上</w:t>
      </w:r>
      <w:r>
        <w:rPr>
          <w:rFonts w:hint="eastAsia" w:ascii="仿宋_GB2312" w:hAnsi="楷体" w:eastAsia="仿宋_GB2312"/>
          <w:bCs/>
          <w:color w:val="auto"/>
          <w:kern w:val="0"/>
          <w:sz w:val="32"/>
          <w:szCs w:val="28"/>
          <w:highlight w:val="none"/>
        </w:rPr>
        <w:t>的公务支出</w:t>
      </w:r>
      <w:r>
        <w:rPr>
          <w:rFonts w:hint="eastAsia" w:ascii="仿宋_GB2312" w:hAnsi="楷体" w:eastAsia="仿宋_GB2312"/>
          <w:bCs/>
          <w:color w:val="auto"/>
          <w:kern w:val="0"/>
          <w:sz w:val="32"/>
          <w:szCs w:val="28"/>
          <w:highlight w:val="none"/>
          <w:lang w:eastAsia="zh-CN"/>
        </w:rPr>
        <w:t>，</w:t>
      </w:r>
      <w:r>
        <w:rPr>
          <w:rFonts w:hint="eastAsia" w:ascii="仿宋_GB2312" w:hAnsi="楷体" w:eastAsia="仿宋_GB2312"/>
          <w:bCs/>
          <w:color w:val="auto"/>
          <w:kern w:val="0"/>
          <w:sz w:val="32"/>
          <w:szCs w:val="28"/>
          <w:highlight w:val="none"/>
        </w:rPr>
        <w:t>经党组会研究审议通过后，方可执行</w:t>
      </w:r>
      <w:r>
        <w:rPr>
          <w:rFonts w:hint="eastAsia" w:ascii="仿宋_GB2312" w:hAnsi="楷体" w:eastAsia="仿宋_GB2312"/>
          <w:bCs/>
          <w:color w:val="auto"/>
          <w:kern w:val="0"/>
          <w:sz w:val="32"/>
          <w:szCs w:val="28"/>
          <w:highlight w:val="none"/>
          <w:lang w:eastAsia="zh-CN"/>
        </w:rPr>
        <w:t>；</w:t>
      </w:r>
      <w:r>
        <w:rPr>
          <w:rFonts w:hint="eastAsia" w:ascii="仿宋_GB2312" w:hAnsi="仿宋_GB2312" w:eastAsia="仿宋_GB2312" w:cs="仿宋_GB2312"/>
          <w:i w:val="0"/>
          <w:iCs w:val="0"/>
          <w:caps w:val="0"/>
          <w:spacing w:val="0"/>
          <w:sz w:val="32"/>
          <w:szCs w:val="32"/>
          <w:highlight w:val="none"/>
          <w:shd w:val="clear" w:fill="FFFFFF"/>
        </w:rPr>
        <w:t>从制度层面有效保障了资金支付</w:t>
      </w:r>
      <w:r>
        <w:rPr>
          <w:rFonts w:hint="eastAsia" w:ascii="仿宋_GB2312" w:hAnsi="仿宋_GB2312" w:eastAsia="仿宋_GB2312" w:cs="仿宋_GB2312"/>
          <w:i w:val="0"/>
          <w:iCs w:val="0"/>
          <w:caps w:val="0"/>
          <w:spacing w:val="0"/>
          <w:sz w:val="32"/>
          <w:szCs w:val="32"/>
          <w:highlight w:val="none"/>
          <w:shd w:val="clear" w:fill="FFFFFF"/>
          <w:lang w:val="en-US" w:eastAsia="zh-CN"/>
        </w:rPr>
        <w:t>使用</w:t>
      </w:r>
      <w:r>
        <w:rPr>
          <w:rFonts w:hint="eastAsia" w:ascii="仿宋_GB2312" w:hAnsi="仿宋_GB2312" w:eastAsia="仿宋_GB2312" w:cs="仿宋_GB2312"/>
          <w:i w:val="0"/>
          <w:iCs w:val="0"/>
          <w:caps w:val="0"/>
          <w:spacing w:val="0"/>
          <w:sz w:val="32"/>
          <w:szCs w:val="32"/>
          <w:highlight w:val="none"/>
          <w:shd w:val="clear" w:fill="FFFFFF"/>
        </w:rPr>
        <w:t>的安全性和合规性。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b/>
          <w:color w:val="auto"/>
          <w:kern w:val="0"/>
          <w:sz w:val="32"/>
          <w:szCs w:val="28"/>
        </w:rPr>
      </w:pPr>
      <w:bookmarkStart w:id="219" w:name="_Toc6661"/>
      <w:bookmarkStart w:id="220" w:name="_Toc16207"/>
      <w:bookmarkStart w:id="221" w:name="_Toc6572"/>
      <w:bookmarkStart w:id="222" w:name="_Toc239"/>
      <w:bookmarkStart w:id="223" w:name="_Toc17224"/>
      <w:bookmarkStart w:id="224" w:name="_Toc6137"/>
      <w:bookmarkStart w:id="225" w:name="_Toc30031"/>
      <w:bookmarkStart w:id="226" w:name="_Toc6948"/>
      <w:bookmarkStart w:id="227" w:name="_Toc22004"/>
      <w:bookmarkStart w:id="228" w:name="_Toc21670"/>
      <w:bookmarkStart w:id="229" w:name="_Toc2660"/>
      <w:r>
        <w:rPr>
          <w:rFonts w:hint="eastAsia" w:ascii="仿宋_GB2312" w:hAnsi="楷体" w:eastAsia="仿宋_GB2312"/>
          <w:b/>
          <w:color w:val="auto"/>
          <w:kern w:val="0"/>
          <w:sz w:val="32"/>
          <w:szCs w:val="28"/>
        </w:rPr>
        <w:t>3.会计基础信息完善性</w:t>
      </w:r>
      <w:bookmarkEnd w:id="219"/>
      <w:bookmarkEnd w:id="220"/>
      <w:bookmarkEnd w:id="221"/>
      <w:bookmarkEnd w:id="222"/>
      <w:bookmarkEnd w:id="223"/>
      <w:bookmarkEnd w:id="224"/>
      <w:bookmarkEnd w:id="225"/>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市妇联遵循</w:t>
      </w:r>
      <w:r>
        <w:rPr>
          <w:rFonts w:hint="eastAsia" w:ascii="仿宋_GB2312" w:hAnsi="仿宋_GB2312" w:eastAsia="仿宋_GB2312" w:cs="仿宋_GB2312"/>
          <w:b w:val="0"/>
          <w:bCs w:val="0"/>
          <w:color w:val="auto"/>
          <w:sz w:val="32"/>
          <w:szCs w:val="32"/>
        </w:rPr>
        <w:t>《中华人民共和国会计法》《中华人民共和国预算法》《政府会计准则》</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政府会计制度</w:t>
      </w:r>
      <w:r>
        <w:rPr>
          <w:rFonts w:hint="eastAsia" w:ascii="仿宋_GB2312" w:hAnsi="楷体" w:eastAsia="仿宋_GB2312"/>
          <w:bCs/>
          <w:color w:val="auto"/>
          <w:kern w:val="0"/>
          <w:sz w:val="32"/>
          <w:szCs w:val="28"/>
          <w:lang w:val="en-US" w:eastAsia="zh-CN"/>
        </w:rPr>
        <w:t>等相关要求，合理设置会计账簿，编制财务报告，认真做好会计基础工作</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针对每一项经济业务事项，每一笔往来款项进行严格的会计核算，</w:t>
      </w:r>
      <w:r>
        <w:rPr>
          <w:rFonts w:hint="eastAsia" w:ascii="仿宋_GB2312" w:hAnsi="楷体" w:eastAsia="仿宋_GB2312"/>
          <w:bCs/>
          <w:color w:val="auto"/>
          <w:kern w:val="0"/>
          <w:sz w:val="32"/>
          <w:szCs w:val="28"/>
          <w:lang w:eastAsia="zh-CN"/>
        </w:rPr>
        <w:t>办公室财务部门</w:t>
      </w:r>
      <w:r>
        <w:rPr>
          <w:rFonts w:hint="eastAsia" w:ascii="仿宋_GB2312" w:hAnsi="楷体" w:eastAsia="仿宋_GB2312"/>
          <w:bCs/>
          <w:color w:val="auto"/>
          <w:kern w:val="0"/>
          <w:sz w:val="32"/>
          <w:szCs w:val="28"/>
          <w:lang w:val="en-US" w:eastAsia="zh-CN"/>
        </w:rPr>
        <w:t>严格履行</w:t>
      </w:r>
      <w:r>
        <w:rPr>
          <w:rFonts w:hint="eastAsia" w:ascii="仿宋_GB2312" w:hAnsi="楷体" w:eastAsia="仿宋_GB2312"/>
          <w:bCs/>
          <w:color w:val="auto"/>
          <w:kern w:val="0"/>
          <w:sz w:val="32"/>
          <w:szCs w:val="28"/>
          <w:lang w:eastAsia="zh-CN"/>
        </w:rPr>
        <w:t>日常管理职责</w:t>
      </w:r>
      <w:r>
        <w:rPr>
          <w:rFonts w:hint="eastAsia" w:ascii="仿宋_GB2312" w:hAnsi="楷体" w:eastAsia="仿宋_GB2312"/>
          <w:bCs/>
          <w:color w:val="auto"/>
          <w:kern w:val="0"/>
          <w:sz w:val="32"/>
          <w:szCs w:val="28"/>
          <w:lang w:val="en-US" w:eastAsia="zh-CN"/>
        </w:rPr>
        <w:t>，确保财务基础数据信息和会计信息资料的真实性、完整性和准确性，有效保障了会计信息质量。</w:t>
      </w:r>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1"/>
        <w:rPr>
          <w:rFonts w:ascii="楷体" w:hAnsi="楷体" w:eastAsia="楷体"/>
          <w:b/>
          <w:bCs/>
          <w:color w:val="auto"/>
          <w:sz w:val="32"/>
          <w:szCs w:val="32"/>
        </w:rPr>
      </w:pPr>
      <w:bookmarkStart w:id="230" w:name="_Toc22096"/>
      <w:bookmarkStart w:id="231" w:name="_Toc32427"/>
      <w:bookmarkStart w:id="232" w:name="_Toc27148"/>
      <w:bookmarkStart w:id="233" w:name="_Toc17218"/>
      <w:bookmarkStart w:id="234" w:name="_Toc15847"/>
      <w:bookmarkStart w:id="235" w:name="_Toc5645"/>
      <w:bookmarkStart w:id="236" w:name="_Toc21866"/>
      <w:bookmarkStart w:id="237" w:name="_Toc5092"/>
      <w:bookmarkStart w:id="238" w:name="_Toc9588"/>
      <w:bookmarkStart w:id="239" w:name="_Toc30163"/>
      <w:bookmarkStart w:id="240" w:name="_Toc27930"/>
      <w:r>
        <w:rPr>
          <w:rFonts w:hint="eastAsia" w:ascii="楷体" w:hAnsi="楷体" w:eastAsia="楷体"/>
          <w:b/>
          <w:bCs/>
          <w:color w:val="auto"/>
          <w:sz w:val="32"/>
          <w:szCs w:val="32"/>
        </w:rPr>
        <w:t>（二）资产管理</w:t>
      </w:r>
      <w:bookmarkEnd w:id="230"/>
      <w:bookmarkEnd w:id="231"/>
      <w:bookmarkEnd w:id="232"/>
      <w:bookmarkEnd w:id="233"/>
      <w:bookmarkEnd w:id="234"/>
      <w:bookmarkEnd w:id="235"/>
      <w:bookmarkEnd w:id="236"/>
      <w:bookmarkEnd w:id="237"/>
      <w:bookmarkEnd w:id="238"/>
      <w:bookmarkEnd w:id="239"/>
      <w:bookmarkEnd w:id="240"/>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b/>
          <w:color w:val="auto"/>
          <w:kern w:val="0"/>
          <w:sz w:val="32"/>
          <w:szCs w:val="28"/>
        </w:rPr>
      </w:pPr>
      <w:bookmarkStart w:id="241" w:name="_Toc2325"/>
      <w:bookmarkStart w:id="242" w:name="_Toc3183"/>
      <w:bookmarkStart w:id="243" w:name="_Toc12187"/>
      <w:bookmarkStart w:id="244" w:name="_Toc13972"/>
      <w:bookmarkStart w:id="245" w:name="_Toc26885"/>
      <w:bookmarkStart w:id="246" w:name="_Toc31493"/>
      <w:bookmarkStart w:id="247" w:name="_Toc15834"/>
      <w:bookmarkStart w:id="248" w:name="_Toc23431"/>
      <w:bookmarkStart w:id="249" w:name="_Toc22437"/>
      <w:bookmarkStart w:id="250" w:name="_Toc412"/>
      <w:bookmarkStart w:id="251" w:name="_Toc27879"/>
      <w:r>
        <w:rPr>
          <w:rFonts w:hint="eastAsia" w:ascii="仿宋_GB2312" w:hAnsi="楷体" w:eastAsia="仿宋_GB2312"/>
          <w:b/>
          <w:color w:val="auto"/>
          <w:kern w:val="0"/>
          <w:sz w:val="32"/>
          <w:szCs w:val="28"/>
        </w:rPr>
        <w:t>1.资产总体情况</w:t>
      </w:r>
      <w:bookmarkEnd w:id="241"/>
      <w:bookmarkEnd w:id="242"/>
      <w:bookmarkEnd w:id="243"/>
      <w:bookmarkEnd w:id="244"/>
      <w:bookmarkEnd w:id="245"/>
      <w:bookmarkEnd w:id="246"/>
      <w:bookmarkEnd w:id="247"/>
      <w:bookmarkEnd w:id="248"/>
      <w:bookmarkEnd w:id="249"/>
      <w:bookmarkEnd w:id="250"/>
      <w:bookmarkEnd w:id="25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截至202</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rPr>
        <w:t>年12月31日，市妇联资产总额账面净值</w:t>
      </w:r>
      <w:r>
        <w:rPr>
          <w:rFonts w:hint="eastAsia" w:ascii="仿宋_GB2312" w:hAnsi="楷体" w:eastAsia="仿宋_GB2312"/>
          <w:bCs/>
          <w:color w:val="auto"/>
          <w:kern w:val="0"/>
          <w:sz w:val="32"/>
          <w:szCs w:val="28"/>
          <w:lang w:val="en-US" w:eastAsia="zh-CN"/>
        </w:rPr>
        <w:t>1,869.830499</w:t>
      </w:r>
      <w:r>
        <w:rPr>
          <w:rFonts w:hint="eastAsia" w:ascii="仿宋_GB2312" w:hAnsi="楷体" w:eastAsia="仿宋_GB2312"/>
          <w:bCs/>
          <w:color w:val="auto"/>
          <w:kern w:val="0"/>
          <w:sz w:val="32"/>
          <w:szCs w:val="28"/>
        </w:rPr>
        <w:t>万元，其中：货币资金</w:t>
      </w:r>
      <w:r>
        <w:rPr>
          <w:rFonts w:hint="eastAsia" w:ascii="仿宋_GB2312" w:hAnsi="楷体" w:eastAsia="仿宋_GB2312"/>
          <w:bCs/>
          <w:color w:val="auto"/>
          <w:kern w:val="0"/>
          <w:sz w:val="32"/>
          <w:szCs w:val="28"/>
          <w:lang w:val="en-US" w:eastAsia="zh-CN"/>
        </w:rPr>
        <w:t>480.998193</w:t>
      </w:r>
      <w:r>
        <w:rPr>
          <w:rFonts w:hint="eastAsia" w:ascii="仿宋_GB2312" w:hAnsi="楷体" w:eastAsia="仿宋_GB2312"/>
          <w:bCs/>
          <w:color w:val="auto"/>
          <w:kern w:val="0"/>
          <w:sz w:val="32"/>
          <w:szCs w:val="28"/>
        </w:rPr>
        <w:t>万元，财政应返还额度</w:t>
      </w:r>
      <w:r>
        <w:rPr>
          <w:rFonts w:hint="eastAsia" w:ascii="仿宋_GB2312" w:hAnsi="楷体" w:eastAsia="仿宋_GB2312"/>
          <w:bCs/>
          <w:color w:val="auto"/>
          <w:kern w:val="0"/>
          <w:sz w:val="32"/>
          <w:szCs w:val="28"/>
          <w:lang w:val="en-US" w:eastAsia="zh-CN"/>
        </w:rPr>
        <w:t>371.391653</w:t>
      </w:r>
      <w:r>
        <w:rPr>
          <w:rFonts w:hint="eastAsia" w:ascii="仿宋_GB2312" w:hAnsi="楷体" w:eastAsia="仿宋_GB2312"/>
          <w:bCs/>
          <w:color w:val="auto"/>
          <w:kern w:val="0"/>
          <w:sz w:val="32"/>
          <w:szCs w:val="28"/>
        </w:rPr>
        <w:t>万元，</w:t>
      </w:r>
      <w:r>
        <w:rPr>
          <w:rFonts w:hint="eastAsia" w:ascii="仿宋_GB2312" w:hAnsi="楷体" w:eastAsia="仿宋_GB2312"/>
          <w:bCs/>
          <w:color w:val="auto"/>
          <w:kern w:val="0"/>
          <w:sz w:val="32"/>
          <w:szCs w:val="28"/>
          <w:lang w:val="en-US" w:eastAsia="zh-CN"/>
        </w:rPr>
        <w:t>预付账款59.218800万元，</w:t>
      </w:r>
      <w:r>
        <w:rPr>
          <w:rFonts w:hint="eastAsia" w:ascii="仿宋_GB2312" w:hAnsi="楷体" w:eastAsia="仿宋_GB2312"/>
          <w:bCs/>
          <w:color w:val="auto"/>
          <w:kern w:val="0"/>
          <w:sz w:val="32"/>
          <w:szCs w:val="28"/>
        </w:rPr>
        <w:t>固定资产净值</w:t>
      </w:r>
      <w:r>
        <w:rPr>
          <w:rFonts w:hint="eastAsia" w:ascii="仿宋_GB2312" w:hAnsi="楷体" w:eastAsia="仿宋_GB2312"/>
          <w:bCs/>
          <w:color w:val="auto"/>
          <w:kern w:val="0"/>
          <w:sz w:val="32"/>
          <w:szCs w:val="28"/>
          <w:lang w:val="en-US" w:eastAsia="zh-CN"/>
        </w:rPr>
        <w:t>698.627000</w:t>
      </w:r>
      <w:r>
        <w:rPr>
          <w:rFonts w:hint="eastAsia" w:ascii="仿宋_GB2312" w:hAnsi="楷体" w:eastAsia="仿宋_GB2312"/>
          <w:bCs/>
          <w:color w:val="auto"/>
          <w:kern w:val="0"/>
          <w:sz w:val="32"/>
          <w:szCs w:val="28"/>
        </w:rPr>
        <w:t>万元，无形资产净值</w:t>
      </w:r>
      <w:r>
        <w:rPr>
          <w:rFonts w:hint="eastAsia" w:ascii="仿宋_GB2312" w:hAnsi="楷体" w:eastAsia="仿宋_GB2312"/>
          <w:bCs/>
          <w:color w:val="auto"/>
          <w:kern w:val="0"/>
          <w:sz w:val="32"/>
          <w:szCs w:val="28"/>
          <w:lang w:val="en-US" w:eastAsia="zh-CN"/>
        </w:rPr>
        <w:t>256.867084</w:t>
      </w:r>
      <w:r>
        <w:rPr>
          <w:rFonts w:hint="eastAsia" w:ascii="仿宋_GB2312" w:hAnsi="楷体" w:eastAsia="仿宋_GB2312"/>
          <w:bCs/>
          <w:color w:val="auto"/>
          <w:kern w:val="0"/>
          <w:sz w:val="32"/>
          <w:szCs w:val="28"/>
        </w:rPr>
        <w:t>万元，受托代理资产</w:t>
      </w:r>
      <w:r>
        <w:rPr>
          <w:rFonts w:hint="eastAsia" w:ascii="仿宋_GB2312" w:hAnsi="楷体" w:eastAsia="仿宋_GB2312"/>
          <w:bCs/>
          <w:color w:val="auto"/>
          <w:kern w:val="0"/>
          <w:sz w:val="32"/>
          <w:szCs w:val="28"/>
          <w:lang w:val="en-US" w:eastAsia="zh-CN"/>
        </w:rPr>
        <w:t>2.727769</w:t>
      </w:r>
      <w:r>
        <w:rPr>
          <w:rFonts w:hint="eastAsia" w:ascii="仿宋_GB2312" w:hAnsi="楷体" w:eastAsia="仿宋_GB2312"/>
          <w:bCs/>
          <w:color w:val="auto"/>
          <w:kern w:val="0"/>
          <w:sz w:val="32"/>
          <w:szCs w:val="28"/>
        </w:rPr>
        <w:t>万元，无在建工程。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固定资产净值</w:t>
      </w:r>
      <w:r>
        <w:rPr>
          <w:rFonts w:hint="eastAsia" w:ascii="仿宋_GB2312" w:hAnsi="楷体" w:eastAsia="仿宋_GB2312"/>
          <w:bCs/>
          <w:color w:val="auto"/>
          <w:kern w:val="0"/>
          <w:sz w:val="32"/>
          <w:szCs w:val="28"/>
          <w:lang w:val="en-US" w:eastAsia="zh-CN"/>
        </w:rPr>
        <w:t>698.627000</w:t>
      </w:r>
      <w:r>
        <w:rPr>
          <w:rFonts w:hint="eastAsia" w:ascii="仿宋_GB2312" w:hAnsi="楷体" w:eastAsia="仿宋_GB2312"/>
          <w:bCs/>
          <w:color w:val="auto"/>
          <w:kern w:val="0"/>
          <w:sz w:val="32"/>
          <w:szCs w:val="28"/>
        </w:rPr>
        <w:t>万元，</w:t>
      </w:r>
      <w:r>
        <w:rPr>
          <w:rFonts w:hint="eastAsia" w:ascii="仿宋_GB2312" w:hAnsi="楷体" w:eastAsia="仿宋_GB2312"/>
          <w:bCs/>
          <w:color w:val="auto"/>
          <w:kern w:val="0"/>
          <w:sz w:val="32"/>
          <w:szCs w:val="28"/>
          <w:lang w:val="en-US" w:eastAsia="zh-CN"/>
        </w:rPr>
        <w:t>包括：</w:t>
      </w:r>
      <w:r>
        <w:rPr>
          <w:rFonts w:hint="eastAsia" w:ascii="仿宋_GB2312" w:hAnsi="楷体" w:eastAsia="仿宋_GB2312"/>
          <w:bCs/>
          <w:color w:val="auto"/>
          <w:kern w:val="0"/>
          <w:sz w:val="32"/>
          <w:szCs w:val="28"/>
        </w:rPr>
        <w:t>房屋和构筑物</w:t>
      </w:r>
      <w:r>
        <w:rPr>
          <w:rFonts w:hint="eastAsia" w:ascii="仿宋_GB2312" w:hAnsi="楷体" w:eastAsia="仿宋_GB2312"/>
          <w:bCs/>
          <w:color w:val="auto"/>
          <w:kern w:val="0"/>
          <w:sz w:val="32"/>
          <w:szCs w:val="28"/>
          <w:lang w:val="en-US" w:eastAsia="zh-CN"/>
        </w:rPr>
        <w:t>163</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521123</w:t>
      </w:r>
      <w:r>
        <w:rPr>
          <w:rFonts w:hint="eastAsia" w:ascii="仿宋_GB2312" w:hAnsi="楷体" w:eastAsia="仿宋_GB2312"/>
          <w:bCs/>
          <w:color w:val="auto"/>
          <w:kern w:val="0"/>
          <w:sz w:val="32"/>
          <w:szCs w:val="28"/>
        </w:rPr>
        <w:t>万元，占固定资产的2</w:t>
      </w:r>
      <w:r>
        <w:rPr>
          <w:rFonts w:hint="eastAsia" w:ascii="仿宋_GB2312" w:hAnsi="楷体" w:eastAsia="仿宋_GB2312"/>
          <w:bCs/>
          <w:color w:val="auto"/>
          <w:kern w:val="0"/>
          <w:sz w:val="32"/>
          <w:szCs w:val="28"/>
          <w:lang w:val="en-US" w:eastAsia="zh-CN"/>
        </w:rPr>
        <w:t>3</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41</w:t>
      </w:r>
      <w:r>
        <w:rPr>
          <w:rFonts w:hint="eastAsia" w:ascii="仿宋_GB2312" w:hAnsi="楷体" w:eastAsia="仿宋_GB2312"/>
          <w:bCs/>
          <w:color w:val="auto"/>
          <w:kern w:val="0"/>
          <w:sz w:val="32"/>
          <w:szCs w:val="28"/>
        </w:rPr>
        <w:t>%；设备</w:t>
      </w:r>
      <w:r>
        <w:rPr>
          <w:rFonts w:hint="eastAsia" w:ascii="仿宋_GB2312" w:hAnsi="楷体" w:eastAsia="仿宋_GB2312"/>
          <w:bCs/>
          <w:color w:val="auto"/>
          <w:kern w:val="0"/>
          <w:sz w:val="32"/>
          <w:szCs w:val="28"/>
          <w:lang w:val="en-US" w:eastAsia="zh-CN"/>
        </w:rPr>
        <w:t>308</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720600</w:t>
      </w:r>
      <w:r>
        <w:rPr>
          <w:rFonts w:hint="eastAsia" w:ascii="仿宋_GB2312" w:hAnsi="楷体" w:eastAsia="仿宋_GB2312"/>
          <w:bCs/>
          <w:color w:val="auto"/>
          <w:kern w:val="0"/>
          <w:sz w:val="32"/>
          <w:szCs w:val="28"/>
        </w:rPr>
        <w:t>万元，占固定资产的</w:t>
      </w:r>
      <w:r>
        <w:rPr>
          <w:rFonts w:hint="eastAsia" w:ascii="仿宋_GB2312" w:hAnsi="楷体" w:eastAsia="仿宋_GB2312"/>
          <w:bCs/>
          <w:color w:val="auto"/>
          <w:kern w:val="0"/>
          <w:sz w:val="32"/>
          <w:szCs w:val="28"/>
          <w:lang w:val="en-US" w:eastAsia="zh-CN"/>
        </w:rPr>
        <w:t>44</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19</w:t>
      </w:r>
      <w:r>
        <w:rPr>
          <w:rFonts w:hint="eastAsia" w:ascii="仿宋_GB2312" w:hAnsi="楷体" w:eastAsia="仿宋_GB2312"/>
          <w:bCs/>
          <w:color w:val="auto"/>
          <w:kern w:val="0"/>
          <w:sz w:val="32"/>
          <w:szCs w:val="28"/>
        </w:rPr>
        <w:t>%，其中车辆为0万元；图书档案</w:t>
      </w:r>
      <w:r>
        <w:rPr>
          <w:rFonts w:hint="eastAsia" w:ascii="仿宋_GB2312" w:hAnsi="楷体" w:eastAsia="仿宋_GB2312"/>
          <w:bCs/>
          <w:color w:val="auto"/>
          <w:kern w:val="0"/>
          <w:sz w:val="32"/>
          <w:szCs w:val="28"/>
          <w:lang w:val="en-US" w:eastAsia="zh-CN"/>
        </w:rPr>
        <w:t>131</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149841</w:t>
      </w:r>
      <w:r>
        <w:rPr>
          <w:rFonts w:hint="eastAsia" w:ascii="仿宋_GB2312" w:hAnsi="楷体" w:eastAsia="仿宋_GB2312"/>
          <w:bCs/>
          <w:color w:val="auto"/>
          <w:kern w:val="0"/>
          <w:sz w:val="32"/>
          <w:szCs w:val="28"/>
        </w:rPr>
        <w:t>万元，占固定资产的1</w:t>
      </w:r>
      <w:r>
        <w:rPr>
          <w:rFonts w:hint="eastAsia" w:ascii="仿宋_GB2312" w:hAnsi="楷体" w:eastAsia="仿宋_GB2312"/>
          <w:bCs/>
          <w:color w:val="auto"/>
          <w:kern w:val="0"/>
          <w:sz w:val="32"/>
          <w:szCs w:val="28"/>
          <w:lang w:val="en-US" w:eastAsia="zh-CN"/>
        </w:rPr>
        <w:t>8</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77</w:t>
      </w:r>
      <w:r>
        <w:rPr>
          <w:rFonts w:hint="eastAsia" w:ascii="仿宋_GB2312" w:hAnsi="楷体" w:eastAsia="仿宋_GB2312"/>
          <w:bCs/>
          <w:color w:val="auto"/>
          <w:kern w:val="0"/>
          <w:sz w:val="32"/>
          <w:szCs w:val="28"/>
        </w:rPr>
        <w:t>%；家具和用具9</w:t>
      </w:r>
      <w:r>
        <w:rPr>
          <w:rFonts w:hint="eastAsia" w:ascii="仿宋_GB2312" w:hAnsi="楷体" w:eastAsia="仿宋_GB2312"/>
          <w:bCs/>
          <w:color w:val="auto"/>
          <w:kern w:val="0"/>
          <w:sz w:val="32"/>
          <w:szCs w:val="28"/>
          <w:lang w:val="en-US" w:eastAsia="zh-CN"/>
        </w:rPr>
        <w:t>5</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235436</w:t>
      </w:r>
      <w:r>
        <w:rPr>
          <w:rFonts w:hint="eastAsia" w:ascii="仿宋_GB2312" w:hAnsi="楷体" w:eastAsia="仿宋_GB2312"/>
          <w:bCs/>
          <w:color w:val="auto"/>
          <w:kern w:val="0"/>
          <w:sz w:val="32"/>
          <w:szCs w:val="28"/>
        </w:rPr>
        <w:t>万元，占固定资产的1</w:t>
      </w:r>
      <w:r>
        <w:rPr>
          <w:rFonts w:hint="eastAsia" w:ascii="仿宋_GB2312" w:hAnsi="楷体" w:eastAsia="仿宋_GB2312"/>
          <w:bCs/>
          <w:color w:val="auto"/>
          <w:kern w:val="0"/>
          <w:sz w:val="32"/>
          <w:szCs w:val="28"/>
          <w:lang w:val="en-US" w:eastAsia="zh-CN"/>
        </w:rPr>
        <w:t>3.63</w:t>
      </w:r>
      <w:r>
        <w:rPr>
          <w:rFonts w:hint="eastAsia" w:ascii="仿宋_GB2312" w:hAnsi="楷体" w:eastAsia="仿宋_GB2312"/>
          <w:bCs/>
          <w:color w:val="auto"/>
          <w:kern w:val="0"/>
          <w:sz w:val="32"/>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i w:val="0"/>
          <w:color w:val="auto"/>
          <w:sz w:val="32"/>
          <w:szCs w:val="32"/>
          <w:u w:val="none"/>
        </w:rPr>
      </w:pPr>
      <w:r>
        <w:rPr>
          <w:rFonts w:hint="eastAsia" w:ascii="仿宋_GB2312" w:hAnsi="仿宋_GB2312" w:eastAsia="仿宋_GB2312" w:cs="仿宋_GB2312"/>
          <w:b w:val="0"/>
          <w:i w:val="0"/>
          <w:color w:val="auto"/>
          <w:sz w:val="32"/>
          <w:szCs w:val="32"/>
          <w:u w:val="none"/>
          <w:lang w:val="en-US" w:eastAsia="zh-CN"/>
        </w:rPr>
        <w:t>市妇联</w:t>
      </w:r>
      <w:r>
        <w:rPr>
          <w:rFonts w:hint="eastAsia" w:ascii="仿宋_GB2312" w:hAnsi="仿宋_GB2312" w:eastAsia="仿宋_GB2312" w:cs="仿宋_GB2312"/>
          <w:b w:val="0"/>
          <w:i w:val="0"/>
          <w:color w:val="auto"/>
          <w:sz w:val="32"/>
          <w:szCs w:val="32"/>
          <w:u w:val="none"/>
        </w:rPr>
        <w:t>自用固定资产2,</w:t>
      </w:r>
      <w:r>
        <w:rPr>
          <w:rFonts w:hint="eastAsia" w:ascii="仿宋_GB2312" w:hAnsi="仿宋_GB2312" w:eastAsia="仿宋_GB2312" w:cs="仿宋_GB2312"/>
          <w:b w:val="0"/>
          <w:i w:val="0"/>
          <w:color w:val="auto"/>
          <w:sz w:val="32"/>
          <w:szCs w:val="32"/>
          <w:u w:val="none"/>
          <w:lang w:val="en-US" w:eastAsia="zh-CN"/>
        </w:rPr>
        <w:t>092</w:t>
      </w:r>
      <w:r>
        <w:rPr>
          <w:rFonts w:hint="eastAsia" w:ascii="仿宋_GB2312" w:hAnsi="仿宋_GB2312" w:eastAsia="仿宋_GB2312" w:cs="仿宋_GB2312"/>
          <w:b w:val="0"/>
          <w:i w:val="0"/>
          <w:color w:val="auto"/>
          <w:sz w:val="32"/>
          <w:szCs w:val="32"/>
          <w:u w:val="none"/>
        </w:rPr>
        <w:t>.</w:t>
      </w:r>
      <w:r>
        <w:rPr>
          <w:rFonts w:hint="eastAsia" w:ascii="仿宋_GB2312" w:hAnsi="仿宋_GB2312" w:eastAsia="仿宋_GB2312" w:cs="仿宋_GB2312"/>
          <w:b w:val="0"/>
          <w:i w:val="0"/>
          <w:color w:val="auto"/>
          <w:sz w:val="32"/>
          <w:szCs w:val="32"/>
          <w:u w:val="none"/>
          <w:lang w:val="en-US" w:eastAsia="zh-CN"/>
        </w:rPr>
        <w:t>452082</w:t>
      </w:r>
      <w:r>
        <w:rPr>
          <w:rFonts w:hint="eastAsia" w:ascii="仿宋_GB2312" w:hAnsi="仿宋_GB2312" w:eastAsia="仿宋_GB2312" w:cs="仿宋_GB2312"/>
          <w:b w:val="0"/>
          <w:i w:val="0"/>
          <w:color w:val="auto"/>
          <w:sz w:val="32"/>
          <w:szCs w:val="32"/>
          <w:u w:val="none"/>
        </w:rPr>
        <w:t>万元，占账面固定资产总额的100.00%，其中</w:t>
      </w:r>
      <w:r>
        <w:rPr>
          <w:rFonts w:hint="eastAsia" w:ascii="仿宋_GB2312" w:hAnsi="仿宋_GB2312" w:eastAsia="仿宋_GB2312" w:cs="仿宋_GB2312"/>
          <w:b w:val="0"/>
          <w:i w:val="0"/>
          <w:color w:val="auto"/>
          <w:sz w:val="32"/>
          <w:szCs w:val="32"/>
          <w:u w:val="none"/>
          <w:lang w:eastAsia="zh-CN"/>
        </w:rPr>
        <w:t>：</w:t>
      </w:r>
      <w:r>
        <w:rPr>
          <w:rFonts w:hint="eastAsia" w:ascii="仿宋_GB2312" w:hAnsi="仿宋_GB2312" w:eastAsia="仿宋_GB2312" w:cs="仿宋_GB2312"/>
          <w:b w:val="0"/>
          <w:i w:val="0"/>
          <w:color w:val="auto"/>
          <w:sz w:val="32"/>
          <w:szCs w:val="32"/>
          <w:u w:val="none"/>
        </w:rPr>
        <w:t>在用</w:t>
      </w:r>
      <w:r>
        <w:rPr>
          <w:rFonts w:hint="eastAsia" w:ascii="仿宋_GB2312" w:hAnsi="仿宋_GB2312" w:eastAsia="仿宋_GB2312" w:cs="仿宋_GB2312"/>
          <w:b w:val="0"/>
          <w:i w:val="0"/>
          <w:color w:val="auto"/>
          <w:sz w:val="32"/>
          <w:szCs w:val="32"/>
          <w:u w:val="none"/>
          <w:lang w:val="en-US" w:eastAsia="zh-CN"/>
        </w:rPr>
        <w:t>2,062.385265</w:t>
      </w:r>
      <w:r>
        <w:rPr>
          <w:rFonts w:hint="eastAsia" w:ascii="仿宋_GB2312" w:hAnsi="仿宋_GB2312" w:eastAsia="仿宋_GB2312" w:cs="仿宋_GB2312"/>
          <w:b w:val="0"/>
          <w:i w:val="0"/>
          <w:color w:val="auto"/>
          <w:sz w:val="32"/>
          <w:szCs w:val="32"/>
          <w:u w:val="none"/>
        </w:rPr>
        <w:t>万元，占账面固定资产总额的</w:t>
      </w:r>
      <w:r>
        <w:rPr>
          <w:rFonts w:hint="eastAsia" w:ascii="仿宋_GB2312" w:hAnsi="仿宋_GB2312" w:eastAsia="仿宋_GB2312" w:cs="仿宋_GB2312"/>
          <w:b w:val="0"/>
          <w:bCs w:val="0"/>
          <w:i w:val="0"/>
          <w:color w:val="000000"/>
          <w:sz w:val="32"/>
          <w:szCs w:val="32"/>
          <w:u w:val="none"/>
        </w:rPr>
        <w:t>98.56</w:t>
      </w:r>
      <w:r>
        <w:rPr>
          <w:rFonts w:hint="eastAsia" w:ascii="仿宋_GB2312" w:hAnsi="仿宋_GB2312" w:eastAsia="仿宋_GB2312" w:cs="仿宋_GB2312"/>
          <w:b w:val="0"/>
          <w:i w:val="0"/>
          <w:color w:val="auto"/>
          <w:sz w:val="32"/>
          <w:szCs w:val="32"/>
          <w:u w:val="none"/>
        </w:rPr>
        <w:t>%；闲置</w:t>
      </w:r>
      <w:r>
        <w:rPr>
          <w:rFonts w:hint="eastAsia" w:ascii="仿宋_GB2312" w:hAnsi="仿宋_GB2312" w:eastAsia="仿宋_GB2312" w:cs="仿宋_GB2312"/>
          <w:b w:val="0"/>
          <w:i w:val="0"/>
          <w:color w:val="auto"/>
          <w:sz w:val="32"/>
          <w:szCs w:val="32"/>
          <w:u w:val="none"/>
          <w:lang w:val="en-US" w:eastAsia="zh-CN"/>
        </w:rPr>
        <w:t>3.394342</w:t>
      </w:r>
      <w:r>
        <w:rPr>
          <w:rFonts w:hint="eastAsia" w:ascii="仿宋_GB2312" w:hAnsi="仿宋_GB2312" w:eastAsia="仿宋_GB2312" w:cs="仿宋_GB2312"/>
          <w:b w:val="0"/>
          <w:i w:val="0"/>
          <w:color w:val="auto"/>
          <w:sz w:val="32"/>
          <w:szCs w:val="32"/>
          <w:u w:val="none"/>
        </w:rPr>
        <w:t>万元，占账面固定资产总额的0.16%；待处置（待报废、毁损等）</w:t>
      </w:r>
      <w:r>
        <w:rPr>
          <w:rFonts w:hint="eastAsia" w:ascii="仿宋_GB2312" w:hAnsi="仿宋_GB2312" w:eastAsia="仿宋_GB2312" w:cs="仿宋_GB2312"/>
          <w:b w:val="0"/>
          <w:bCs w:val="0"/>
          <w:i w:val="0"/>
          <w:color w:val="000000"/>
          <w:sz w:val="32"/>
          <w:szCs w:val="32"/>
          <w:u w:val="none"/>
        </w:rPr>
        <w:t>26.67</w:t>
      </w:r>
      <w:r>
        <w:rPr>
          <w:rFonts w:hint="eastAsia" w:ascii="仿宋_GB2312" w:hAnsi="仿宋_GB2312" w:eastAsia="仿宋_GB2312" w:cs="仿宋_GB2312"/>
          <w:b w:val="0"/>
          <w:bCs w:val="0"/>
          <w:i w:val="0"/>
          <w:color w:val="000000"/>
          <w:sz w:val="32"/>
          <w:szCs w:val="32"/>
          <w:u w:val="none"/>
          <w:lang w:val="en-US" w:eastAsia="zh-CN"/>
        </w:rPr>
        <w:t>2475</w:t>
      </w:r>
      <w:r>
        <w:rPr>
          <w:rFonts w:hint="eastAsia" w:ascii="仿宋_GB2312" w:hAnsi="仿宋_GB2312" w:eastAsia="仿宋_GB2312" w:cs="仿宋_GB2312"/>
          <w:b w:val="0"/>
          <w:i w:val="0"/>
          <w:color w:val="auto"/>
          <w:sz w:val="32"/>
          <w:szCs w:val="32"/>
          <w:u w:val="none"/>
        </w:rPr>
        <w:t>万元，占账面固定资产总额的</w:t>
      </w:r>
      <w:r>
        <w:rPr>
          <w:rFonts w:hint="eastAsia" w:ascii="仿宋_GB2312" w:hAnsi="仿宋_GB2312" w:eastAsia="仿宋_GB2312" w:cs="仿宋_GB2312"/>
          <w:b w:val="0"/>
          <w:i w:val="0"/>
          <w:color w:val="auto"/>
          <w:sz w:val="32"/>
          <w:szCs w:val="32"/>
          <w:u w:val="none"/>
          <w:lang w:val="en-US" w:eastAsia="zh-CN"/>
        </w:rPr>
        <w:t>1.28</w:t>
      </w:r>
      <w:r>
        <w:rPr>
          <w:rFonts w:hint="eastAsia" w:ascii="仿宋_GB2312" w:hAnsi="仿宋_GB2312" w:eastAsia="仿宋_GB2312" w:cs="仿宋_GB2312"/>
          <w:b w:val="0"/>
          <w:i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w:t>
      </w:r>
      <w:r>
        <w:rPr>
          <w:rFonts w:hint="eastAsia" w:ascii="仿宋_GB2312" w:hAnsi="仿宋_GB2312" w:eastAsia="仿宋_GB2312" w:cs="仿宋_GB2312"/>
          <w:b w:val="0"/>
          <w:i w:val="0"/>
          <w:color w:val="auto"/>
          <w:sz w:val="32"/>
          <w:szCs w:val="32"/>
          <w:u w:val="none"/>
        </w:rPr>
        <w:t>自用无形资产</w:t>
      </w:r>
      <w:r>
        <w:rPr>
          <w:rFonts w:hint="eastAsia" w:ascii="仿宋_GB2312" w:hAnsi="仿宋_GB2312" w:eastAsia="仿宋_GB2312" w:cs="仿宋_GB2312"/>
          <w:b w:val="0"/>
          <w:bCs w:val="0"/>
          <w:i w:val="0"/>
          <w:color w:val="000000"/>
          <w:sz w:val="32"/>
          <w:szCs w:val="32"/>
          <w:u w:val="none"/>
        </w:rPr>
        <w:t>513.7</w:t>
      </w:r>
      <w:r>
        <w:rPr>
          <w:rFonts w:hint="eastAsia" w:ascii="仿宋_GB2312" w:hAnsi="仿宋_GB2312" w:eastAsia="仿宋_GB2312" w:cs="仿宋_GB2312"/>
          <w:b w:val="0"/>
          <w:bCs w:val="0"/>
          <w:i w:val="0"/>
          <w:color w:val="000000"/>
          <w:sz w:val="32"/>
          <w:szCs w:val="32"/>
          <w:u w:val="none"/>
          <w:lang w:val="en-US" w:eastAsia="zh-CN"/>
        </w:rPr>
        <w:t>46496</w:t>
      </w:r>
      <w:r>
        <w:rPr>
          <w:rFonts w:hint="eastAsia" w:ascii="仿宋_GB2312" w:hAnsi="仿宋_GB2312" w:eastAsia="仿宋_GB2312" w:cs="仿宋_GB2312"/>
          <w:b w:val="0"/>
          <w:i w:val="0"/>
          <w:color w:val="auto"/>
          <w:sz w:val="32"/>
          <w:szCs w:val="32"/>
          <w:u w:val="none"/>
        </w:rPr>
        <w:t>万元</w:t>
      </w:r>
      <w:r>
        <w:rPr>
          <w:rFonts w:hint="eastAsia" w:ascii="仿宋_GB2312" w:hAnsi="楷体" w:eastAsia="仿宋_GB2312"/>
          <w:bCs/>
          <w:color w:val="auto"/>
          <w:kern w:val="0"/>
          <w:sz w:val="32"/>
          <w:szCs w:val="28"/>
        </w:rPr>
        <w:t>，全部在用，无出租出借无形资产。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市妇联处置资产</w:t>
      </w:r>
      <w:r>
        <w:rPr>
          <w:rFonts w:hint="eastAsia" w:ascii="仿宋_GB2312" w:hAnsi="仿宋_GB2312" w:eastAsia="仿宋_GB2312" w:cs="仿宋_GB2312"/>
          <w:b w:val="0"/>
          <w:bCs w:val="0"/>
          <w:i w:val="0"/>
          <w:color w:val="000000"/>
          <w:sz w:val="32"/>
          <w:szCs w:val="32"/>
          <w:u w:val="none"/>
        </w:rPr>
        <w:t>111.65</w:t>
      </w:r>
      <w:r>
        <w:rPr>
          <w:rFonts w:hint="eastAsia" w:ascii="仿宋_GB2312" w:hAnsi="仿宋_GB2312" w:eastAsia="仿宋_GB2312" w:cs="仿宋_GB2312"/>
          <w:b w:val="0"/>
          <w:bCs w:val="0"/>
          <w:i w:val="0"/>
          <w:color w:val="000000"/>
          <w:sz w:val="32"/>
          <w:szCs w:val="32"/>
          <w:u w:val="none"/>
          <w:lang w:val="en-US" w:eastAsia="zh-CN"/>
        </w:rPr>
        <w:t>4985</w:t>
      </w:r>
      <w:r>
        <w:rPr>
          <w:rFonts w:hint="eastAsia" w:ascii="仿宋_GB2312" w:hAnsi="楷体" w:eastAsia="仿宋_GB2312"/>
          <w:bCs/>
          <w:color w:val="auto"/>
          <w:kern w:val="0"/>
          <w:sz w:val="32"/>
          <w:szCs w:val="28"/>
        </w:rPr>
        <w:t>万元，全部为固定资产，处置形式为</w:t>
      </w:r>
      <w:r>
        <w:rPr>
          <w:rFonts w:hint="eastAsia" w:ascii="仿宋_GB2312" w:hAnsi="楷体" w:eastAsia="仿宋_GB2312"/>
          <w:bCs/>
          <w:color w:val="auto"/>
          <w:kern w:val="0"/>
          <w:sz w:val="32"/>
          <w:szCs w:val="28"/>
          <w:lang w:val="en-US" w:eastAsia="zh-CN"/>
        </w:rPr>
        <w:t>无偿划转和</w:t>
      </w:r>
      <w:r>
        <w:rPr>
          <w:rFonts w:hint="eastAsia" w:ascii="仿宋_GB2312" w:hAnsi="楷体" w:eastAsia="仿宋_GB2312"/>
          <w:bCs/>
          <w:color w:val="auto"/>
          <w:kern w:val="0"/>
          <w:sz w:val="32"/>
          <w:szCs w:val="28"/>
        </w:rPr>
        <w:t>报废。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仿宋_GB2312" w:hAnsi="楷体" w:eastAsia="仿宋_GB2312"/>
          <w:b/>
          <w:color w:val="auto"/>
          <w:kern w:val="0"/>
          <w:sz w:val="32"/>
          <w:szCs w:val="28"/>
        </w:rPr>
      </w:pPr>
      <w:bookmarkStart w:id="252" w:name="_Toc17321"/>
      <w:bookmarkStart w:id="253" w:name="_Toc22811"/>
      <w:bookmarkStart w:id="254" w:name="_Toc3618"/>
      <w:bookmarkStart w:id="255" w:name="_Toc4919"/>
      <w:bookmarkStart w:id="256" w:name="_Toc29633"/>
      <w:bookmarkStart w:id="257" w:name="_Toc9998"/>
      <w:bookmarkStart w:id="258" w:name="_Toc4288"/>
      <w:bookmarkStart w:id="259" w:name="_Toc29616"/>
      <w:bookmarkStart w:id="260" w:name="_Toc14128"/>
      <w:bookmarkStart w:id="261" w:name="_Toc31933"/>
      <w:bookmarkStart w:id="262" w:name="_Toc22476"/>
      <w:r>
        <w:rPr>
          <w:rFonts w:hint="eastAsia" w:ascii="仿宋_GB2312" w:hAnsi="楷体" w:eastAsia="仿宋_GB2312"/>
          <w:b/>
          <w:color w:val="auto"/>
          <w:kern w:val="0"/>
          <w:sz w:val="32"/>
          <w:szCs w:val="28"/>
        </w:rPr>
        <w:t>2.资产管理制度及过程管理情况</w:t>
      </w:r>
      <w:bookmarkEnd w:id="252"/>
      <w:bookmarkEnd w:id="253"/>
      <w:bookmarkEnd w:id="254"/>
      <w:bookmarkEnd w:id="255"/>
      <w:bookmarkEnd w:id="256"/>
      <w:bookmarkEnd w:id="257"/>
      <w:bookmarkEnd w:id="258"/>
      <w:bookmarkEnd w:id="259"/>
      <w:bookmarkEnd w:id="260"/>
      <w:bookmarkEnd w:id="261"/>
      <w:bookmarkEnd w:id="262"/>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2024年，市妇联为进一步加强国有资产管理，在原有《北京市妇女联合会固定资产管理办法》基础上，新修订形成</w:t>
      </w:r>
      <w:r>
        <w:rPr>
          <w:rFonts w:hint="eastAsia" w:ascii="仿宋_GB2312" w:hAnsi="楷体" w:eastAsia="仿宋_GB2312"/>
          <w:bCs/>
          <w:color w:val="auto"/>
          <w:kern w:val="0"/>
          <w:sz w:val="32"/>
          <w:szCs w:val="28"/>
        </w:rPr>
        <w:t>《北京市妇女联合会</w:t>
      </w:r>
      <w:r>
        <w:rPr>
          <w:rFonts w:hint="eastAsia" w:ascii="仿宋_GB2312" w:hAnsi="楷体" w:eastAsia="仿宋_GB2312"/>
          <w:bCs/>
          <w:color w:val="auto"/>
          <w:kern w:val="0"/>
          <w:sz w:val="32"/>
          <w:szCs w:val="28"/>
          <w:lang w:val="en-US" w:eastAsia="zh-CN"/>
        </w:rPr>
        <w:t>国有</w:t>
      </w:r>
      <w:r>
        <w:rPr>
          <w:rFonts w:hint="eastAsia" w:ascii="仿宋_GB2312" w:hAnsi="楷体" w:eastAsia="仿宋_GB2312"/>
          <w:bCs/>
          <w:color w:val="auto"/>
          <w:kern w:val="0"/>
          <w:sz w:val="32"/>
          <w:szCs w:val="28"/>
        </w:rPr>
        <w:t>资产管理办法》</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扩展了制度的适用范围以及资产管理的覆盖面，细化了相关部门岗位的职责，完善了资产配置与处置的规定，以及资产管理与清查盘点的流程，不断适应新的资产管理要求，推动市妇联的资产管理工作不断迈上新台阶。</w:t>
      </w:r>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1"/>
        <w:rPr>
          <w:rFonts w:ascii="楷体" w:hAnsi="楷体" w:eastAsia="楷体"/>
          <w:b/>
          <w:bCs/>
          <w:color w:val="auto"/>
          <w:sz w:val="32"/>
          <w:szCs w:val="32"/>
        </w:rPr>
      </w:pPr>
      <w:bookmarkStart w:id="263" w:name="_Toc29247"/>
      <w:bookmarkStart w:id="264" w:name="_Toc12920"/>
      <w:bookmarkStart w:id="265" w:name="_Toc20478"/>
      <w:bookmarkStart w:id="266" w:name="_Toc28681"/>
      <w:bookmarkStart w:id="267" w:name="_Toc30074"/>
      <w:bookmarkStart w:id="268" w:name="_Toc25161"/>
      <w:bookmarkStart w:id="269" w:name="_Toc24904"/>
      <w:bookmarkStart w:id="270" w:name="_Toc2989"/>
      <w:bookmarkStart w:id="271" w:name="_Toc3274"/>
      <w:bookmarkStart w:id="272" w:name="_Toc22736"/>
      <w:bookmarkStart w:id="273" w:name="_Toc8785"/>
      <w:r>
        <w:rPr>
          <w:rFonts w:hint="eastAsia" w:ascii="楷体" w:hAnsi="楷体" w:eastAsia="楷体"/>
          <w:b/>
          <w:bCs/>
          <w:color w:val="auto"/>
          <w:sz w:val="32"/>
          <w:szCs w:val="32"/>
        </w:rPr>
        <w:t>（三）绩效</w:t>
      </w:r>
      <w:r>
        <w:rPr>
          <w:rFonts w:ascii="楷体" w:hAnsi="楷体" w:eastAsia="楷体"/>
          <w:b/>
          <w:bCs/>
          <w:color w:val="auto"/>
          <w:sz w:val="32"/>
          <w:szCs w:val="32"/>
        </w:rPr>
        <w:t>管理</w:t>
      </w:r>
      <w:bookmarkEnd w:id="263"/>
      <w:bookmarkEnd w:id="264"/>
      <w:bookmarkEnd w:id="265"/>
      <w:bookmarkEnd w:id="266"/>
      <w:bookmarkEnd w:id="267"/>
      <w:bookmarkEnd w:id="268"/>
      <w:bookmarkEnd w:id="269"/>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市妇联</w:t>
      </w:r>
      <w:r>
        <w:rPr>
          <w:rFonts w:hint="eastAsia" w:ascii="Calibri" w:hAnsi="Calibri" w:eastAsia="仿宋_GB2312" w:cs="Calibri"/>
          <w:color w:val="auto"/>
          <w:sz w:val="32"/>
          <w:szCs w:val="32"/>
        </w:rPr>
        <w:t>贯彻落实</w:t>
      </w:r>
      <w:r>
        <w:rPr>
          <w:rFonts w:hint="eastAsia" w:ascii="仿宋_GB2312" w:hAnsi="宋体" w:eastAsia="仿宋_GB2312" w:cs="宋体"/>
          <w:color w:val="auto"/>
          <w:kern w:val="0"/>
          <w:sz w:val="32"/>
          <w:szCs w:val="32"/>
        </w:rPr>
        <w:t>全面预算绩效管理要求，</w:t>
      </w:r>
      <w:r>
        <w:rPr>
          <w:rFonts w:hint="eastAsia" w:ascii="仿宋_GB2312" w:hAnsi="仿宋_GB2312" w:eastAsia="仿宋_GB2312" w:cs="仿宋_GB2312"/>
          <w:i w:val="0"/>
          <w:iCs w:val="0"/>
          <w:caps w:val="0"/>
          <w:spacing w:val="0"/>
          <w:sz w:val="32"/>
          <w:szCs w:val="32"/>
          <w:shd w:val="clear" w:fill="FFFFFF"/>
        </w:rPr>
        <w:t>深入实施全过程预算绩效管理</w:t>
      </w:r>
      <w:r>
        <w:rPr>
          <w:rFonts w:hint="eastAsia" w:ascii="仿宋_GB2312" w:hAnsi="宋体" w:eastAsia="仿宋_GB2312" w:cs="宋体"/>
          <w:color w:val="auto"/>
          <w:kern w:val="0"/>
          <w:sz w:val="32"/>
          <w:szCs w:val="32"/>
        </w:rPr>
        <w:t>，</w:t>
      </w:r>
      <w:r>
        <w:rPr>
          <w:rFonts w:hint="eastAsia" w:ascii="仿宋_GB2312" w:hAnsi="楷体" w:eastAsia="仿宋_GB2312"/>
          <w:bCs/>
          <w:color w:val="auto"/>
          <w:kern w:val="0"/>
          <w:sz w:val="32"/>
          <w:szCs w:val="28"/>
          <w:lang w:val="en-US" w:eastAsia="zh-CN"/>
        </w:rPr>
        <w:t>逐步构建“预算编制有目标、预算执行有监控、预算完成有评价、评价结果有反馈、反馈结果有应用”的全过程预算管理绩效机制。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2024年3月-5月，市妇联扎实开展年度预算绩效评价工作，组织实施2023年度项目绩效管理工作，包括单位自评、重点项目部门评价、部门整体绩效评价等项工作。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cs="Times New Roman"/>
          <w:b w:val="0"/>
          <w:bCs/>
          <w:color w:val="auto"/>
          <w:kern w:val="0"/>
          <w:sz w:val="32"/>
          <w:szCs w:val="28"/>
          <w:lang w:val="en-US" w:eastAsia="zh-CN" w:bidi="ar-SA"/>
        </w:rPr>
      </w:pPr>
      <w:r>
        <w:rPr>
          <w:rFonts w:hint="eastAsia" w:ascii="仿宋_GB2312" w:hAnsi="楷体" w:eastAsia="仿宋_GB2312" w:cs="Times New Roman"/>
          <w:b w:val="0"/>
          <w:bCs/>
          <w:color w:val="auto"/>
          <w:kern w:val="0"/>
          <w:sz w:val="32"/>
          <w:szCs w:val="28"/>
          <w:lang w:val="en-US" w:eastAsia="zh-CN" w:bidi="ar-SA"/>
        </w:rPr>
        <w:t>2024年3-7月，</w:t>
      </w:r>
      <w:r>
        <w:rPr>
          <w:rFonts w:hint="eastAsia" w:ascii="仿宋_GB2312" w:hAnsi="仿宋_GB2312" w:eastAsia="仿宋_GB2312" w:cs="仿宋_GB2312"/>
          <w:i w:val="0"/>
          <w:iCs w:val="0"/>
          <w:caps w:val="0"/>
          <w:spacing w:val="0"/>
          <w:sz w:val="32"/>
          <w:szCs w:val="32"/>
          <w:shd w:val="clear" w:fill="FFFFFF"/>
        </w:rPr>
        <w:t>积极推进重点领域项目支出的成本绩效分析工作</w:t>
      </w:r>
      <w:r>
        <w:rPr>
          <w:rFonts w:hint="eastAsia" w:ascii="仿宋_GB2312" w:hAnsi="楷体" w:eastAsia="仿宋_GB2312" w:cs="Times New Roman"/>
          <w:b w:val="0"/>
          <w:bCs/>
          <w:color w:val="auto"/>
          <w:kern w:val="0"/>
          <w:sz w:val="32"/>
          <w:szCs w:val="28"/>
          <w:lang w:val="en-US" w:eastAsia="zh-CN" w:bidi="ar-SA"/>
        </w:rPr>
        <w:t>，选取“妇女宣传思想政治引领”项目开展了成本预算绩效分析，与绩效目标</w:t>
      </w:r>
      <w:r>
        <w:rPr>
          <w:rFonts w:hint="eastAsia" w:ascii="仿宋_GB2312" w:hAnsi="仿宋_GB2312" w:eastAsia="仿宋_GB2312" w:cs="仿宋_GB2312"/>
          <w:i w:val="0"/>
          <w:iCs w:val="0"/>
          <w:caps w:val="0"/>
          <w:spacing w:val="0"/>
          <w:sz w:val="32"/>
          <w:szCs w:val="32"/>
          <w:shd w:val="clear" w:fill="FFFFFF"/>
        </w:rPr>
        <w:t>紧密结合</w:t>
      </w:r>
      <w:r>
        <w:rPr>
          <w:rFonts w:hint="eastAsia" w:ascii="仿宋_GB2312" w:hAnsi="楷体" w:eastAsia="仿宋_GB2312" w:cs="Times New Roman"/>
          <w:b w:val="0"/>
          <w:bCs/>
          <w:color w:val="auto"/>
          <w:kern w:val="0"/>
          <w:sz w:val="32"/>
          <w:szCs w:val="28"/>
          <w:lang w:val="en-US" w:eastAsia="zh-CN" w:bidi="ar-SA"/>
        </w:rPr>
        <w:t>，</w:t>
      </w:r>
      <w:r>
        <w:rPr>
          <w:rFonts w:hint="eastAsia" w:ascii="仿宋_GB2312" w:hAnsi="仿宋_GB2312" w:eastAsia="仿宋_GB2312" w:cs="仿宋_GB2312"/>
          <w:i w:val="0"/>
          <w:iCs w:val="0"/>
          <w:caps w:val="0"/>
          <w:spacing w:val="0"/>
          <w:sz w:val="32"/>
          <w:szCs w:val="32"/>
          <w:shd w:val="clear" w:fill="FFFFFF"/>
        </w:rPr>
        <w:t>从合理调配资源、规范预算资金分配等方面入手，</w:t>
      </w:r>
      <w:r>
        <w:rPr>
          <w:rFonts w:hint="eastAsia" w:ascii="仿宋_GB2312" w:hAnsi="楷体" w:eastAsia="仿宋_GB2312" w:cs="Times New Roman"/>
          <w:b w:val="0"/>
          <w:bCs/>
          <w:color w:val="auto"/>
          <w:kern w:val="0"/>
          <w:sz w:val="32"/>
          <w:szCs w:val="28"/>
          <w:lang w:val="en-US" w:eastAsia="zh-CN" w:bidi="ar-SA"/>
        </w:rPr>
        <w:t>明确项目的部分成本定额，</w:t>
      </w:r>
      <w:r>
        <w:rPr>
          <w:rFonts w:hint="eastAsia" w:ascii="仿宋_GB2312" w:hAnsi="仿宋_GB2312" w:eastAsia="仿宋_GB2312" w:cs="仿宋_GB2312"/>
          <w:i w:val="0"/>
          <w:iCs w:val="0"/>
          <w:caps w:val="0"/>
          <w:spacing w:val="0"/>
          <w:sz w:val="32"/>
          <w:szCs w:val="32"/>
          <w:shd w:val="clear" w:fill="FFFFFF"/>
        </w:rPr>
        <w:t>着力提升</w:t>
      </w:r>
      <w:r>
        <w:rPr>
          <w:rFonts w:hint="eastAsia" w:ascii="仿宋_GB2312" w:hAnsi="楷体" w:eastAsia="仿宋_GB2312" w:cs="Times New Roman"/>
          <w:b w:val="0"/>
          <w:bCs/>
          <w:color w:val="auto"/>
          <w:kern w:val="0"/>
          <w:sz w:val="32"/>
          <w:szCs w:val="28"/>
          <w:lang w:val="en-US" w:eastAsia="zh-CN" w:bidi="ar-SA"/>
        </w:rPr>
        <w:t>成本绩效意识和</w:t>
      </w:r>
      <w:r>
        <w:rPr>
          <w:rFonts w:hint="eastAsia" w:ascii="仿宋_GB2312" w:hAnsi="仿宋_GB2312" w:eastAsia="仿宋_GB2312" w:cs="仿宋_GB2312"/>
          <w:i w:val="0"/>
          <w:iCs w:val="0"/>
          <w:caps w:val="0"/>
          <w:spacing w:val="0"/>
          <w:sz w:val="32"/>
          <w:szCs w:val="32"/>
          <w:shd w:val="clear" w:fill="FFFFFF"/>
        </w:rPr>
        <w:t>预算绩效管理水平</w:t>
      </w:r>
      <w:r>
        <w:rPr>
          <w:rFonts w:hint="eastAsia" w:ascii="仿宋_GB2312" w:hAnsi="楷体" w:eastAsia="仿宋_GB2312" w:cs="Times New Roman"/>
          <w:b w:val="0"/>
          <w:bCs/>
          <w:color w:val="auto"/>
          <w:kern w:val="0"/>
          <w:sz w:val="32"/>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楷体" w:eastAsia="仿宋_GB2312"/>
          <w:bCs/>
          <w:color w:val="auto"/>
          <w:kern w:val="0"/>
          <w:sz w:val="32"/>
          <w:szCs w:val="28"/>
          <w:lang w:val="en-US" w:eastAsia="zh-CN"/>
        </w:rPr>
      </w:pPr>
      <w:r>
        <w:rPr>
          <w:rFonts w:hint="eastAsia" w:ascii="仿宋_GB2312" w:hAnsi="宋体" w:eastAsia="仿宋_GB2312" w:cs="宋体"/>
          <w:color w:val="auto"/>
          <w:kern w:val="0"/>
          <w:sz w:val="32"/>
          <w:szCs w:val="32"/>
          <w:lang w:val="en-US" w:eastAsia="zh-CN"/>
        </w:rPr>
        <w:t>2024年7月，</w:t>
      </w:r>
      <w:r>
        <w:rPr>
          <w:rFonts w:hint="eastAsia" w:ascii="仿宋_GB2312" w:hAnsi="楷体" w:eastAsia="仿宋_GB2312"/>
          <w:bCs/>
          <w:color w:val="auto"/>
          <w:kern w:val="0"/>
          <w:sz w:val="32"/>
          <w:szCs w:val="28"/>
        </w:rPr>
        <w:t>开展202</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rPr>
        <w:t>年</w:t>
      </w:r>
      <w:r>
        <w:rPr>
          <w:rFonts w:hint="eastAsia" w:ascii="仿宋_GB2312" w:hAnsi="楷体" w:eastAsia="仿宋_GB2312"/>
          <w:bCs/>
          <w:color w:val="auto"/>
          <w:kern w:val="0"/>
          <w:sz w:val="32"/>
          <w:szCs w:val="28"/>
          <w:lang w:val="en-US" w:eastAsia="zh-CN"/>
        </w:rPr>
        <w:t>度</w:t>
      </w:r>
      <w:r>
        <w:rPr>
          <w:rFonts w:hint="eastAsia" w:ascii="仿宋_GB2312" w:hAnsi="楷体" w:eastAsia="仿宋_GB2312"/>
          <w:bCs/>
          <w:color w:val="auto"/>
          <w:kern w:val="0"/>
          <w:sz w:val="32"/>
          <w:szCs w:val="28"/>
        </w:rPr>
        <w:t>部门预算项目全过程绩效监控</w:t>
      </w:r>
      <w:r>
        <w:rPr>
          <w:rFonts w:hint="eastAsia" w:ascii="仿宋_GB2312" w:hAnsi="楷体" w:eastAsia="仿宋_GB2312"/>
          <w:bCs/>
          <w:color w:val="auto"/>
          <w:kern w:val="0"/>
          <w:sz w:val="32"/>
          <w:szCs w:val="28"/>
          <w:lang w:val="en-US" w:eastAsia="zh-CN"/>
        </w:rPr>
        <w:t>工作，对项目绩效目标阶段性完成情况与预算执行情况实行“双监控”，深化绩效监督管理，及时纠正项目执行偏差。有效提高预算资金使用效益，提高绩效管理水平。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bCs/>
          <w:color w:val="auto"/>
          <w:kern w:val="0"/>
          <w:sz w:val="32"/>
          <w:szCs w:val="28"/>
        </w:rPr>
      </w:pPr>
      <w:r>
        <w:rPr>
          <w:rFonts w:hint="eastAsia" w:ascii="仿宋_GB2312" w:hAnsi="楷体" w:eastAsia="仿宋_GB2312"/>
          <w:bCs/>
          <w:color w:val="auto"/>
          <w:kern w:val="0"/>
          <w:sz w:val="32"/>
          <w:szCs w:val="28"/>
        </w:rPr>
        <w:t>本</w:t>
      </w:r>
      <w:r>
        <w:rPr>
          <w:rFonts w:hint="eastAsia" w:ascii="仿宋_GB2312" w:hAnsi="楷体" w:eastAsia="仿宋_GB2312"/>
          <w:bCs/>
          <w:color w:val="auto"/>
          <w:kern w:val="0"/>
          <w:sz w:val="32"/>
          <w:szCs w:val="28"/>
          <w:lang w:val="en-US" w:eastAsia="zh-CN"/>
        </w:rPr>
        <w:t>年</w:t>
      </w:r>
      <w:r>
        <w:rPr>
          <w:rFonts w:hint="eastAsia" w:ascii="仿宋_GB2312" w:hAnsi="楷体" w:eastAsia="仿宋_GB2312"/>
          <w:bCs/>
          <w:color w:val="auto"/>
          <w:kern w:val="0"/>
          <w:sz w:val="32"/>
          <w:szCs w:val="28"/>
        </w:rPr>
        <w:t>绩效评价工作，市妇联按照</w:t>
      </w:r>
      <w:r>
        <w:rPr>
          <w:rFonts w:hint="eastAsia" w:ascii="仿宋_GB2312" w:hAnsi="楷体" w:eastAsia="仿宋_GB2312"/>
          <w:bCs/>
          <w:color w:val="auto"/>
          <w:kern w:val="0"/>
          <w:sz w:val="32"/>
          <w:szCs w:val="28"/>
          <w:lang w:val="en-US" w:eastAsia="zh-CN"/>
        </w:rPr>
        <w:t>北京市财政局</w:t>
      </w:r>
      <w:r>
        <w:rPr>
          <w:rFonts w:hint="eastAsia" w:ascii="仿宋_GB2312" w:hAnsi="楷体" w:eastAsia="仿宋_GB2312"/>
          <w:bCs/>
          <w:color w:val="auto"/>
          <w:kern w:val="0"/>
          <w:sz w:val="32"/>
          <w:szCs w:val="28"/>
          <w:lang w:eastAsia="zh-CN"/>
        </w:rPr>
        <w:t>《</w:t>
      </w:r>
      <w:r>
        <w:rPr>
          <w:rFonts w:hint="eastAsia" w:ascii="仿宋_GB2312" w:eastAsia="仿宋_GB2312"/>
          <w:color w:val="auto"/>
          <w:sz w:val="32"/>
          <w:szCs w:val="28"/>
        </w:rPr>
        <w:t>关于2025年预算绩效管理工作的通知</w:t>
      </w:r>
      <w:r>
        <w:rPr>
          <w:rFonts w:hint="eastAsia" w:ascii="仿宋_GB2312" w:eastAsia="仿宋_GB2312"/>
          <w:color w:val="auto"/>
          <w:sz w:val="32"/>
          <w:szCs w:val="28"/>
          <w:lang w:eastAsia="zh-CN"/>
        </w:rPr>
        <w:t>》</w:t>
      </w:r>
      <w:r>
        <w:rPr>
          <w:rFonts w:hint="eastAsia" w:ascii="仿宋_GB2312" w:eastAsia="仿宋_GB2312"/>
          <w:color w:val="auto"/>
          <w:sz w:val="32"/>
          <w:szCs w:val="28"/>
        </w:rPr>
        <w:t>（京财绩效〔2025〕245号）</w:t>
      </w:r>
      <w:r>
        <w:rPr>
          <w:rFonts w:hint="eastAsia" w:ascii="仿宋_GB2312" w:hAnsi="楷体" w:eastAsia="仿宋_GB2312"/>
          <w:bCs/>
          <w:color w:val="auto"/>
          <w:kern w:val="0"/>
          <w:sz w:val="32"/>
          <w:szCs w:val="28"/>
        </w:rPr>
        <w:t>安排，对</w:t>
      </w:r>
      <w:r>
        <w:rPr>
          <w:rFonts w:hint="eastAsia" w:ascii="仿宋_GB2312" w:hAnsi="楷体" w:eastAsia="仿宋_GB2312"/>
          <w:bCs/>
          <w:color w:val="auto"/>
          <w:kern w:val="0"/>
          <w:sz w:val="32"/>
          <w:szCs w:val="28"/>
          <w:lang w:val="en-US" w:eastAsia="zh-CN"/>
        </w:rPr>
        <w:t>28</w:t>
      </w:r>
      <w:r>
        <w:rPr>
          <w:rFonts w:hint="eastAsia" w:ascii="仿宋_GB2312" w:hAnsi="楷体" w:eastAsia="仿宋_GB2312"/>
          <w:bCs/>
          <w:color w:val="auto"/>
          <w:kern w:val="0"/>
          <w:sz w:val="32"/>
          <w:szCs w:val="28"/>
        </w:rPr>
        <w:t>个部门预算项目采取单位自评方式开展绩效评价，</w:t>
      </w:r>
      <w:r>
        <w:rPr>
          <w:rFonts w:hint="eastAsia" w:ascii="仿宋_GB2312" w:hAnsi="楷体" w:eastAsia="仿宋_GB2312"/>
          <w:bCs/>
          <w:color w:val="auto"/>
          <w:kern w:val="0"/>
          <w:sz w:val="32"/>
          <w:szCs w:val="28"/>
          <w:lang w:val="en-US" w:eastAsia="zh-CN"/>
        </w:rPr>
        <w:t>形成</w:t>
      </w:r>
      <w:r>
        <w:rPr>
          <w:rFonts w:hint="eastAsia" w:ascii="仿宋_GB2312" w:hAnsi="楷体" w:eastAsia="仿宋_GB2312"/>
          <w:bCs/>
          <w:color w:val="auto"/>
          <w:kern w:val="0"/>
          <w:sz w:val="32"/>
          <w:szCs w:val="28"/>
        </w:rPr>
        <w:t>项目支出绩效自评表</w:t>
      </w:r>
      <w:r>
        <w:rPr>
          <w:rFonts w:hint="eastAsia" w:ascii="仿宋_GB2312" w:hAnsi="楷体" w:eastAsia="仿宋_GB2312"/>
          <w:bCs/>
          <w:color w:val="auto"/>
          <w:kern w:val="0"/>
          <w:sz w:val="32"/>
          <w:szCs w:val="28"/>
          <w:lang w:val="en-US" w:eastAsia="zh-CN"/>
        </w:rPr>
        <w:t>27个</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lang w:val="en-US" w:eastAsia="zh-CN"/>
        </w:rPr>
        <w:t>另“机动经费”项目年中核减全部资金</w:t>
      </w:r>
      <w:r>
        <w:rPr>
          <w:rFonts w:hint="eastAsia" w:ascii="仿宋_GB2312" w:hAnsi="楷体" w:eastAsia="仿宋_GB2312"/>
          <w:bCs/>
          <w:color w:val="auto"/>
          <w:kern w:val="0"/>
          <w:sz w:val="32"/>
          <w:szCs w:val="28"/>
        </w:rPr>
        <w:t>；对“</w:t>
      </w:r>
      <w:r>
        <w:rPr>
          <w:rFonts w:hint="eastAsia" w:ascii="仿宋_GB2312" w:hAnsi="楷体" w:eastAsia="仿宋_GB2312"/>
          <w:bCs/>
          <w:color w:val="auto"/>
          <w:kern w:val="0"/>
          <w:sz w:val="32"/>
          <w:szCs w:val="28"/>
          <w:lang w:val="en-US" w:eastAsia="zh-CN"/>
        </w:rPr>
        <w:t>妇女维权经费</w:t>
      </w:r>
      <w:r>
        <w:rPr>
          <w:rFonts w:hint="eastAsia" w:ascii="仿宋_GB2312" w:hAnsi="楷体" w:eastAsia="仿宋_GB2312"/>
          <w:bCs/>
          <w:color w:val="auto"/>
          <w:kern w:val="0"/>
          <w:sz w:val="32"/>
          <w:szCs w:val="28"/>
        </w:rPr>
        <w:t>”项目开展部门评价，出具绩效评价报告</w:t>
      </w:r>
      <w:r>
        <w:rPr>
          <w:rFonts w:hint="eastAsia" w:ascii="仿宋_GB2312" w:hAnsi="楷体" w:eastAsia="仿宋_GB2312"/>
          <w:bCs/>
          <w:color w:val="auto"/>
          <w:kern w:val="0"/>
          <w:sz w:val="32"/>
          <w:szCs w:val="28"/>
          <w:lang w:eastAsia="zh-CN"/>
        </w:rPr>
        <w:t>。</w:t>
      </w:r>
      <w:r>
        <w:rPr>
          <w:rFonts w:hint="eastAsia" w:ascii="仿宋_GB2312" w:hAnsi="楷体" w:eastAsia="仿宋_GB2312"/>
          <w:bCs/>
          <w:color w:val="auto"/>
          <w:kern w:val="0"/>
          <w:sz w:val="32"/>
          <w:szCs w:val="28"/>
        </w:rPr>
        <w:t>从总体评价结果来看，各项目能够较好地按照预算</w:t>
      </w:r>
      <w:r>
        <w:rPr>
          <w:rFonts w:hint="eastAsia" w:ascii="仿宋_GB2312" w:hAnsi="楷体" w:eastAsia="仿宋_GB2312"/>
          <w:bCs/>
          <w:color w:val="auto"/>
          <w:kern w:val="0"/>
          <w:sz w:val="32"/>
          <w:szCs w:val="28"/>
          <w:lang w:val="en-US" w:eastAsia="zh-CN"/>
        </w:rPr>
        <w:t>要求</w:t>
      </w:r>
      <w:r>
        <w:rPr>
          <w:rFonts w:hint="eastAsia" w:ascii="仿宋_GB2312" w:hAnsi="楷体" w:eastAsia="仿宋_GB2312"/>
          <w:bCs/>
          <w:color w:val="auto"/>
          <w:kern w:val="0"/>
          <w:sz w:val="32"/>
          <w:szCs w:val="28"/>
        </w:rPr>
        <w:t>完成，绩效目标及指标的完成情况较好，项目执行过程</w:t>
      </w:r>
      <w:r>
        <w:rPr>
          <w:rFonts w:hint="eastAsia" w:ascii="仿宋_GB2312" w:hAnsi="楷体" w:eastAsia="仿宋_GB2312"/>
          <w:bCs/>
          <w:color w:val="auto"/>
          <w:kern w:val="0"/>
          <w:sz w:val="32"/>
          <w:szCs w:val="28"/>
          <w:lang w:val="en-US" w:eastAsia="zh-CN"/>
        </w:rPr>
        <w:t>较为</w:t>
      </w:r>
      <w:r>
        <w:rPr>
          <w:rFonts w:hint="eastAsia" w:ascii="仿宋_GB2312" w:hAnsi="楷体" w:eastAsia="仿宋_GB2312"/>
          <w:bCs/>
          <w:color w:val="auto"/>
          <w:kern w:val="0"/>
          <w:sz w:val="32"/>
          <w:szCs w:val="28"/>
        </w:rPr>
        <w:t>规范。</w:t>
      </w:r>
      <w:r>
        <w:rPr>
          <w:rFonts w:hint="eastAsia" w:ascii="仿宋_GB2312" w:hAnsi="楷体" w:eastAsia="仿宋_GB2312"/>
          <w:bCs/>
          <w:color w:val="auto"/>
          <w:kern w:val="0"/>
          <w:sz w:val="32"/>
          <w:szCs w:val="28"/>
          <w:lang w:eastAsia="zh-CN"/>
        </w:rPr>
        <w:t>目前选定“</w:t>
      </w:r>
      <w:r>
        <w:rPr>
          <w:rFonts w:hint="default" w:ascii="仿宋_GB2312" w:hAnsi="楷体" w:eastAsia="仿宋_GB2312"/>
          <w:bCs/>
          <w:color w:val="auto"/>
          <w:kern w:val="0"/>
          <w:sz w:val="32"/>
          <w:szCs w:val="28"/>
          <w:lang w:val="en-US" w:eastAsia="zh-CN"/>
        </w:rPr>
        <w:t>首都女性终身学习平台</w:t>
      </w:r>
      <w:r>
        <w:rPr>
          <w:rFonts w:hint="eastAsia" w:ascii="仿宋_GB2312" w:hAnsi="楷体" w:eastAsia="仿宋_GB2312"/>
          <w:bCs/>
          <w:color w:val="auto"/>
          <w:kern w:val="0"/>
          <w:sz w:val="32"/>
          <w:szCs w:val="28"/>
          <w:lang w:eastAsia="zh-CN"/>
        </w:rPr>
        <w:t>”项目开展成本预算绩效分析工作，正在组织实施中；计划于202</w:t>
      </w:r>
      <w:r>
        <w:rPr>
          <w:rFonts w:hint="eastAsia" w:ascii="仿宋_GB2312" w:hAnsi="楷体" w:eastAsia="仿宋_GB2312"/>
          <w:bCs/>
          <w:color w:val="auto"/>
          <w:kern w:val="0"/>
          <w:sz w:val="32"/>
          <w:szCs w:val="28"/>
          <w:lang w:val="en-US" w:eastAsia="zh-CN"/>
        </w:rPr>
        <w:t>5</w:t>
      </w:r>
      <w:r>
        <w:rPr>
          <w:rFonts w:hint="eastAsia" w:ascii="仿宋_GB2312" w:hAnsi="楷体" w:eastAsia="仿宋_GB2312"/>
          <w:bCs/>
          <w:color w:val="auto"/>
          <w:kern w:val="0"/>
          <w:sz w:val="32"/>
          <w:szCs w:val="28"/>
          <w:lang w:eastAsia="zh-CN"/>
        </w:rPr>
        <w:t>年7月</w:t>
      </w:r>
      <w:r>
        <w:rPr>
          <w:rFonts w:hint="eastAsia" w:ascii="仿宋_GB2312" w:hAnsi="楷体" w:eastAsia="仿宋_GB2312"/>
          <w:bCs/>
          <w:color w:val="auto"/>
          <w:kern w:val="0"/>
          <w:sz w:val="32"/>
          <w:szCs w:val="28"/>
          <w:lang w:val="en-US" w:eastAsia="zh-CN"/>
        </w:rPr>
        <w:t>开始</w:t>
      </w:r>
      <w:r>
        <w:rPr>
          <w:rFonts w:hint="eastAsia" w:ascii="仿宋_GB2312" w:hAnsi="楷体" w:eastAsia="仿宋_GB2312"/>
          <w:bCs/>
          <w:color w:val="auto"/>
          <w:kern w:val="0"/>
          <w:sz w:val="32"/>
          <w:szCs w:val="28"/>
          <w:lang w:eastAsia="zh-CN"/>
        </w:rPr>
        <w:t>对202</w:t>
      </w:r>
      <w:r>
        <w:rPr>
          <w:rFonts w:hint="eastAsia" w:ascii="仿宋_GB2312" w:hAnsi="楷体" w:eastAsia="仿宋_GB2312"/>
          <w:bCs/>
          <w:color w:val="auto"/>
          <w:kern w:val="0"/>
          <w:sz w:val="32"/>
          <w:szCs w:val="28"/>
          <w:lang w:val="en-US" w:eastAsia="zh-CN"/>
        </w:rPr>
        <w:t>5</w:t>
      </w:r>
      <w:r>
        <w:rPr>
          <w:rFonts w:hint="eastAsia" w:ascii="仿宋_GB2312" w:hAnsi="楷体" w:eastAsia="仿宋_GB2312"/>
          <w:bCs/>
          <w:color w:val="auto"/>
          <w:kern w:val="0"/>
          <w:sz w:val="32"/>
          <w:szCs w:val="28"/>
          <w:lang w:eastAsia="zh-CN"/>
        </w:rPr>
        <w:t>年度上半年项目的预算执行和绩效目标实现程度开展绩效运行监控工作</w:t>
      </w:r>
      <w:r>
        <w:rPr>
          <w:rFonts w:hint="eastAsia" w:ascii="仿宋_GB2312" w:hAnsi="楷体" w:eastAsia="仿宋_GB2312"/>
          <w:bCs/>
          <w:color w:val="auto"/>
          <w:kern w:val="0"/>
          <w:sz w:val="32"/>
          <w:szCs w:val="28"/>
        </w:rPr>
        <w:t>。</w:t>
      </w:r>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1"/>
        <w:rPr>
          <w:rFonts w:ascii="楷体" w:hAnsi="楷体" w:eastAsia="楷体"/>
          <w:b/>
          <w:bCs/>
          <w:color w:val="auto"/>
          <w:sz w:val="32"/>
          <w:szCs w:val="32"/>
        </w:rPr>
      </w:pPr>
      <w:bookmarkStart w:id="274" w:name="_Toc16135"/>
      <w:bookmarkStart w:id="275" w:name="_Toc26703"/>
      <w:bookmarkStart w:id="276" w:name="_Toc4595"/>
      <w:bookmarkStart w:id="277" w:name="_Toc5173"/>
      <w:bookmarkStart w:id="278" w:name="_Toc168"/>
      <w:bookmarkStart w:id="279" w:name="_Toc13448"/>
      <w:bookmarkStart w:id="280" w:name="_Toc4789"/>
      <w:bookmarkStart w:id="281" w:name="_Toc23532"/>
      <w:bookmarkStart w:id="282" w:name="_Toc6966"/>
      <w:bookmarkStart w:id="283" w:name="_Toc23400"/>
      <w:bookmarkStart w:id="284" w:name="_Toc32628"/>
      <w:r>
        <w:rPr>
          <w:rFonts w:hint="eastAsia" w:ascii="楷体" w:hAnsi="楷体" w:eastAsia="楷体"/>
          <w:b/>
          <w:bCs/>
          <w:color w:val="auto"/>
          <w:sz w:val="32"/>
          <w:szCs w:val="32"/>
        </w:rPr>
        <w:t>（四）结转结余率</w:t>
      </w:r>
      <w:bookmarkEnd w:id="274"/>
      <w:bookmarkEnd w:id="275"/>
      <w:bookmarkEnd w:id="276"/>
      <w:bookmarkEnd w:id="277"/>
      <w:bookmarkEnd w:id="278"/>
      <w:bookmarkEnd w:id="279"/>
      <w:bookmarkEnd w:id="280"/>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lang w:val="en-US" w:eastAsia="zh-CN"/>
        </w:rPr>
        <w:t>2024年，</w:t>
      </w:r>
      <w:r>
        <w:rPr>
          <w:rFonts w:hint="eastAsia" w:ascii="仿宋_GB2312" w:hAnsi="楷体" w:eastAsia="仿宋_GB2312"/>
          <w:bCs/>
          <w:color w:val="auto"/>
          <w:kern w:val="0"/>
          <w:sz w:val="32"/>
          <w:szCs w:val="28"/>
        </w:rPr>
        <w:t>市妇联全年预算数9</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1</w:t>
      </w:r>
      <w:r>
        <w:rPr>
          <w:rFonts w:hint="eastAsia" w:ascii="仿宋_GB2312" w:hAnsi="楷体" w:eastAsia="仿宋_GB2312"/>
          <w:bCs/>
          <w:color w:val="auto"/>
          <w:kern w:val="0"/>
          <w:sz w:val="32"/>
          <w:szCs w:val="28"/>
          <w:lang w:val="en-US" w:eastAsia="zh-CN"/>
        </w:rPr>
        <w:t>55</w:t>
      </w:r>
      <w:r>
        <w:rPr>
          <w:rFonts w:hint="eastAsia" w:ascii="仿宋_GB2312" w:hAnsi="楷体" w:eastAsia="仿宋_GB2312"/>
          <w:bCs/>
          <w:color w:val="auto"/>
          <w:kern w:val="0"/>
          <w:sz w:val="32"/>
          <w:szCs w:val="28"/>
        </w:rPr>
        <w:t>.</w:t>
      </w:r>
      <w:r>
        <w:rPr>
          <w:rFonts w:hint="eastAsia" w:ascii="仿宋_GB2312" w:hAnsi="楷体" w:eastAsia="仿宋_GB2312"/>
          <w:bCs/>
          <w:color w:val="auto"/>
          <w:kern w:val="0"/>
          <w:sz w:val="32"/>
          <w:szCs w:val="28"/>
          <w:lang w:val="en-US" w:eastAsia="zh-CN"/>
        </w:rPr>
        <w:t>843977</w:t>
      </w:r>
      <w:r>
        <w:rPr>
          <w:rFonts w:hint="eastAsia" w:ascii="仿宋_GB2312" w:hAnsi="楷体" w:eastAsia="仿宋_GB2312"/>
          <w:bCs/>
          <w:color w:val="auto"/>
          <w:kern w:val="0"/>
          <w:sz w:val="32"/>
          <w:szCs w:val="28"/>
        </w:rPr>
        <w:t>万元，结转结余371</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391653万元，</w:t>
      </w:r>
      <w:r>
        <w:rPr>
          <w:rFonts w:hint="eastAsia" w:ascii="仿宋_GB2312" w:hAnsi="仿宋" w:eastAsia="仿宋_GB2312"/>
          <w:color w:val="auto"/>
          <w:sz w:val="32"/>
          <w:szCs w:val="32"/>
        </w:rPr>
        <w:t>其中基本经费结转</w:t>
      </w:r>
      <w:r>
        <w:rPr>
          <w:rFonts w:hint="eastAsia" w:ascii="仿宋_GB2312" w:hAnsi="仿宋" w:eastAsia="仿宋_GB2312"/>
          <w:color w:val="auto"/>
          <w:sz w:val="32"/>
          <w:szCs w:val="32"/>
          <w:lang w:val="en-US" w:eastAsia="zh-CN"/>
        </w:rPr>
        <w:t>200.321115</w:t>
      </w:r>
      <w:r>
        <w:rPr>
          <w:rFonts w:hint="eastAsia" w:ascii="仿宋_GB2312" w:hAnsi="仿宋" w:eastAsia="仿宋_GB2312"/>
          <w:color w:val="auto"/>
          <w:sz w:val="32"/>
          <w:szCs w:val="32"/>
        </w:rPr>
        <w:t>万元，项目经费结转和结余</w:t>
      </w:r>
      <w:r>
        <w:rPr>
          <w:rFonts w:hint="eastAsia" w:ascii="仿宋_GB2312" w:hAnsi="仿宋" w:eastAsia="仿宋_GB2312"/>
          <w:color w:val="auto"/>
          <w:sz w:val="32"/>
          <w:szCs w:val="32"/>
          <w:lang w:val="en-US" w:eastAsia="zh-CN"/>
        </w:rPr>
        <w:t>171.070538</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w:t>
      </w:r>
      <w:r>
        <w:rPr>
          <w:rFonts w:hint="eastAsia" w:ascii="仿宋_GB2312" w:hAnsi="楷体" w:eastAsia="仿宋_GB2312"/>
          <w:bCs/>
          <w:color w:val="auto"/>
          <w:kern w:val="0"/>
          <w:sz w:val="32"/>
          <w:szCs w:val="28"/>
        </w:rPr>
        <w:t>结转结余率为</w:t>
      </w:r>
      <w:r>
        <w:rPr>
          <w:rFonts w:hint="eastAsia" w:ascii="仿宋_GB2312" w:hAnsi="楷体" w:eastAsia="仿宋_GB2312"/>
          <w:bCs/>
          <w:color w:val="auto"/>
          <w:kern w:val="0"/>
          <w:sz w:val="32"/>
          <w:szCs w:val="28"/>
          <w:lang w:val="en-US" w:eastAsia="zh-CN"/>
        </w:rPr>
        <w:t>4.06</w:t>
      </w:r>
      <w:r>
        <w:rPr>
          <w:rFonts w:hint="eastAsia" w:ascii="仿宋_GB2312" w:hAnsi="楷体" w:eastAsia="仿宋_GB2312"/>
          <w:bCs/>
          <w:color w:val="auto"/>
          <w:kern w:val="0"/>
          <w:sz w:val="32"/>
          <w:szCs w:val="28"/>
        </w:rPr>
        <w:t>%，较上年结转结余率</w:t>
      </w:r>
      <w:r>
        <w:rPr>
          <w:rFonts w:hint="eastAsia" w:ascii="仿宋_GB2312" w:hAnsi="楷体" w:eastAsia="仿宋_GB2312"/>
          <w:bCs/>
          <w:color w:val="auto"/>
          <w:kern w:val="0"/>
          <w:sz w:val="32"/>
          <w:szCs w:val="28"/>
          <w:lang w:val="en-US" w:eastAsia="zh-CN"/>
        </w:rPr>
        <w:t>3.66%高0.40</w:t>
      </w:r>
      <w:r>
        <w:rPr>
          <w:rFonts w:hint="eastAsia" w:ascii="仿宋_GB2312" w:hAnsi="楷体" w:eastAsia="仿宋_GB2312"/>
          <w:bCs/>
          <w:color w:val="auto"/>
          <w:kern w:val="0"/>
          <w:sz w:val="32"/>
          <w:szCs w:val="28"/>
        </w:rPr>
        <w:t>%。</w:t>
      </w:r>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1"/>
        <w:rPr>
          <w:rFonts w:hint="eastAsia" w:ascii="楷体" w:hAnsi="楷体" w:eastAsia="楷体"/>
          <w:b/>
          <w:bCs/>
          <w:color w:val="auto"/>
          <w:sz w:val="32"/>
          <w:szCs w:val="32"/>
          <w:lang w:val="en-US" w:eastAsia="zh-CN"/>
        </w:rPr>
      </w:pPr>
      <w:bookmarkStart w:id="285" w:name="_Toc4622"/>
      <w:bookmarkStart w:id="286" w:name="_Toc6030"/>
      <w:bookmarkStart w:id="287" w:name="_Toc11718"/>
      <w:bookmarkStart w:id="288" w:name="_Toc25499"/>
      <w:bookmarkStart w:id="289" w:name="_Toc5589"/>
      <w:bookmarkStart w:id="290" w:name="_Toc27833"/>
      <w:bookmarkStart w:id="291" w:name="_Toc1243"/>
      <w:bookmarkStart w:id="292" w:name="_Toc21735"/>
      <w:bookmarkStart w:id="293" w:name="_Toc514"/>
      <w:bookmarkStart w:id="294" w:name="_Toc11216"/>
      <w:bookmarkStart w:id="295" w:name="_Toc29533"/>
      <w:r>
        <w:rPr>
          <w:rFonts w:hint="eastAsia" w:ascii="楷体" w:hAnsi="楷体" w:eastAsia="楷体"/>
          <w:b/>
          <w:bCs/>
          <w:color w:val="auto"/>
          <w:sz w:val="32"/>
          <w:szCs w:val="32"/>
        </w:rPr>
        <w:t>（五）部门</w:t>
      </w:r>
      <w:r>
        <w:rPr>
          <w:rFonts w:ascii="楷体" w:hAnsi="楷体" w:eastAsia="楷体"/>
          <w:b/>
          <w:bCs/>
          <w:color w:val="auto"/>
          <w:sz w:val="32"/>
          <w:szCs w:val="32"/>
        </w:rPr>
        <w:t>预决算差异率</w:t>
      </w:r>
      <w:bookmarkEnd w:id="285"/>
      <w:bookmarkEnd w:id="286"/>
      <w:bookmarkEnd w:id="287"/>
      <w:bookmarkEnd w:id="288"/>
      <w:bookmarkEnd w:id="289"/>
      <w:bookmarkEnd w:id="290"/>
      <w:bookmarkEnd w:id="291"/>
      <w:bookmarkEnd w:id="292"/>
      <w:bookmarkEnd w:id="293"/>
      <w:bookmarkEnd w:id="294"/>
      <w:bookmarkEnd w:id="295"/>
      <w:r>
        <w:rPr>
          <w:rFonts w:hint="eastAsia" w:ascii="楷体" w:hAnsi="楷体" w:eastAsia="楷体"/>
          <w:b/>
          <w:bCs/>
          <w:color w:val="auto"/>
          <w:sz w:val="32"/>
          <w:szCs w:val="32"/>
          <w:lang w:val="en-US" w:eastAsia="zh-CN"/>
        </w:rPr>
        <w:tab/>
      </w:r>
      <w:bookmarkStart w:id="351" w:name="_GoBack"/>
      <w:bookmarkEnd w:id="35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lang w:val="en-US" w:eastAsia="zh-CN"/>
        </w:rPr>
        <w:t>2024年，</w:t>
      </w:r>
      <w:r>
        <w:rPr>
          <w:rFonts w:hint="eastAsia" w:ascii="仿宋_GB2312" w:hAnsi="楷体" w:eastAsia="仿宋_GB2312"/>
          <w:bCs/>
          <w:color w:val="auto"/>
          <w:kern w:val="0"/>
          <w:sz w:val="32"/>
          <w:szCs w:val="28"/>
        </w:rPr>
        <w:t>市妇联</w:t>
      </w:r>
      <w:r>
        <w:rPr>
          <w:rFonts w:hint="eastAsia" w:ascii="仿宋_GB2312" w:hAnsi="仿宋_GB2312" w:eastAsia="仿宋_GB2312" w:cs="仿宋_GB2312"/>
          <w:color w:val="auto"/>
          <w:sz w:val="32"/>
          <w:szCs w:val="32"/>
        </w:rPr>
        <w:t>年初预算数</w:t>
      </w:r>
      <w:r>
        <w:rPr>
          <w:rFonts w:hint="eastAsia" w:ascii="仿宋_GB2312" w:hAnsi="楷体" w:eastAsia="仿宋_GB2312"/>
          <w:bCs/>
          <w:color w:val="auto"/>
          <w:kern w:val="0"/>
          <w:sz w:val="32"/>
          <w:szCs w:val="28"/>
        </w:rPr>
        <w:t>9</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299</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769321万元，年度决算8</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784</w:t>
      </w:r>
      <w:r>
        <w:rPr>
          <w:rFonts w:hint="eastAsia" w:ascii="仿宋_GB2312" w:hAnsi="楷体" w:eastAsia="仿宋_GB2312"/>
          <w:bCs/>
          <w:color w:val="auto"/>
          <w:kern w:val="0"/>
          <w:sz w:val="32"/>
          <w:szCs w:val="28"/>
          <w:lang w:val="en-US" w:eastAsia="zh-CN"/>
        </w:rPr>
        <w:t>.</w:t>
      </w:r>
      <w:r>
        <w:rPr>
          <w:rFonts w:hint="eastAsia" w:ascii="仿宋_GB2312" w:hAnsi="楷体" w:eastAsia="仿宋_GB2312"/>
          <w:bCs/>
          <w:color w:val="auto"/>
          <w:kern w:val="0"/>
          <w:sz w:val="32"/>
          <w:szCs w:val="28"/>
        </w:rPr>
        <w:t>452324万元，预决算差异率为</w:t>
      </w:r>
      <w:r>
        <w:rPr>
          <w:rFonts w:hint="eastAsia" w:ascii="仿宋_GB2312" w:hAnsi="楷体" w:eastAsia="仿宋_GB2312"/>
          <w:bCs/>
          <w:color w:val="auto"/>
          <w:kern w:val="0"/>
          <w:sz w:val="32"/>
          <w:szCs w:val="28"/>
          <w:lang w:val="en-US" w:eastAsia="zh-CN"/>
        </w:rPr>
        <w:t>5.54</w:t>
      </w:r>
      <w:r>
        <w:rPr>
          <w:rFonts w:hint="eastAsia" w:ascii="仿宋_GB2312" w:hAnsi="楷体" w:eastAsia="仿宋_GB2312"/>
          <w:bCs/>
          <w:color w:val="auto"/>
          <w:kern w:val="0"/>
          <w:sz w:val="32"/>
          <w:szCs w:val="28"/>
        </w:rPr>
        <w:t>%。部门预决算差异率控制情况较好。</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0"/>
        <w:rPr>
          <w:rFonts w:ascii="黑体" w:hAnsi="黑体" w:eastAsia="黑体" w:cs="宋体"/>
          <w:color w:val="auto"/>
          <w:kern w:val="0"/>
          <w:sz w:val="32"/>
          <w:szCs w:val="32"/>
        </w:rPr>
      </w:pPr>
      <w:bookmarkStart w:id="296" w:name="_Toc17897"/>
      <w:bookmarkStart w:id="297" w:name="_Toc19050"/>
      <w:bookmarkStart w:id="298" w:name="_Toc1554"/>
      <w:bookmarkStart w:id="299" w:name="_Toc25749"/>
      <w:bookmarkStart w:id="300" w:name="_Toc9244"/>
      <w:bookmarkStart w:id="301" w:name="_Toc15615"/>
      <w:bookmarkStart w:id="302" w:name="_Toc25673"/>
      <w:bookmarkStart w:id="303" w:name="_Toc23866"/>
      <w:bookmarkStart w:id="304" w:name="_Toc32161"/>
      <w:bookmarkStart w:id="305" w:name="_Toc10910"/>
      <w:bookmarkStart w:id="306" w:name="_Toc1678"/>
      <w:r>
        <w:rPr>
          <w:rFonts w:hint="eastAsia" w:ascii="黑体" w:hAnsi="黑体" w:eastAsia="黑体" w:cs="宋体"/>
          <w:color w:val="auto"/>
          <w:kern w:val="0"/>
          <w:sz w:val="32"/>
          <w:szCs w:val="32"/>
        </w:rPr>
        <w:t>五、总体</w:t>
      </w:r>
      <w:r>
        <w:rPr>
          <w:rFonts w:ascii="黑体" w:hAnsi="黑体" w:eastAsia="黑体" w:cs="宋体"/>
          <w:color w:val="auto"/>
          <w:kern w:val="0"/>
          <w:sz w:val="32"/>
          <w:szCs w:val="32"/>
        </w:rPr>
        <w:t>评价结论</w:t>
      </w:r>
      <w:bookmarkEnd w:id="296"/>
      <w:bookmarkEnd w:id="297"/>
      <w:bookmarkEnd w:id="298"/>
      <w:bookmarkEnd w:id="299"/>
      <w:bookmarkEnd w:id="300"/>
      <w:bookmarkEnd w:id="301"/>
      <w:bookmarkEnd w:id="302"/>
      <w:bookmarkEnd w:id="303"/>
      <w:bookmarkEnd w:id="304"/>
      <w:bookmarkEnd w:id="305"/>
      <w:bookmarkEnd w:id="306"/>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1"/>
        <w:rPr>
          <w:rFonts w:ascii="楷体" w:hAnsi="楷体" w:eastAsia="楷体"/>
          <w:b/>
          <w:bCs/>
          <w:color w:val="auto"/>
          <w:sz w:val="32"/>
          <w:szCs w:val="32"/>
        </w:rPr>
      </w:pPr>
      <w:bookmarkStart w:id="307" w:name="_Toc17341"/>
      <w:bookmarkStart w:id="308" w:name="_Toc18473"/>
      <w:bookmarkStart w:id="309" w:name="_Toc8156"/>
      <w:bookmarkStart w:id="310" w:name="_Toc8166"/>
      <w:bookmarkStart w:id="311" w:name="_Toc30218"/>
      <w:bookmarkStart w:id="312" w:name="_Toc20678"/>
      <w:bookmarkStart w:id="313" w:name="_Toc23610"/>
      <w:bookmarkStart w:id="314" w:name="_Toc23297"/>
      <w:bookmarkStart w:id="315" w:name="_Toc4266"/>
      <w:bookmarkStart w:id="316" w:name="_Toc19207"/>
      <w:bookmarkStart w:id="317" w:name="_Toc19235"/>
      <w:r>
        <w:rPr>
          <w:rFonts w:hint="eastAsia" w:ascii="楷体" w:hAnsi="楷体" w:eastAsia="楷体"/>
          <w:b/>
          <w:bCs/>
          <w:color w:val="auto"/>
          <w:sz w:val="32"/>
          <w:szCs w:val="32"/>
        </w:rPr>
        <w:t>（一）评价</w:t>
      </w:r>
      <w:r>
        <w:rPr>
          <w:rFonts w:ascii="楷体" w:hAnsi="楷体" w:eastAsia="楷体"/>
          <w:b/>
          <w:bCs/>
          <w:color w:val="auto"/>
          <w:sz w:val="32"/>
          <w:szCs w:val="32"/>
        </w:rPr>
        <w:t>得分</w:t>
      </w:r>
      <w:r>
        <w:rPr>
          <w:rFonts w:hint="eastAsia" w:ascii="楷体" w:hAnsi="楷体" w:eastAsia="楷体"/>
          <w:b/>
          <w:bCs/>
          <w:color w:val="auto"/>
          <w:sz w:val="32"/>
          <w:szCs w:val="32"/>
        </w:rPr>
        <w:t>情况</w:t>
      </w:r>
      <w:bookmarkEnd w:id="307"/>
      <w:bookmarkEnd w:id="308"/>
      <w:bookmarkEnd w:id="309"/>
      <w:bookmarkEnd w:id="310"/>
      <w:bookmarkEnd w:id="311"/>
      <w:bookmarkEnd w:id="312"/>
      <w:bookmarkEnd w:id="313"/>
      <w:bookmarkEnd w:id="314"/>
      <w:bookmarkEnd w:id="315"/>
      <w:bookmarkEnd w:id="316"/>
      <w:bookmarkEnd w:id="31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楷体" w:eastAsia="仿宋_GB2312"/>
          <w:bCs/>
          <w:color w:val="auto"/>
          <w:kern w:val="0"/>
          <w:sz w:val="32"/>
          <w:szCs w:val="28"/>
        </w:rPr>
      </w:pPr>
      <w:r>
        <w:rPr>
          <w:rFonts w:hint="eastAsia" w:ascii="仿宋_GB2312" w:hAnsi="楷体" w:eastAsia="仿宋_GB2312"/>
          <w:bCs/>
          <w:color w:val="auto"/>
          <w:kern w:val="0"/>
          <w:sz w:val="32"/>
          <w:szCs w:val="28"/>
        </w:rPr>
        <w:t>经评价，市妇联202</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rPr>
        <w:t>年度部门整体支出绩效评价总得分8</w:t>
      </w:r>
      <w:r>
        <w:rPr>
          <w:rFonts w:hint="eastAsia" w:ascii="仿宋_GB2312" w:hAnsi="楷体" w:eastAsia="仿宋_GB2312"/>
          <w:bCs/>
          <w:color w:val="auto"/>
          <w:kern w:val="0"/>
          <w:sz w:val="32"/>
          <w:szCs w:val="28"/>
          <w:lang w:val="en-US" w:eastAsia="zh-CN"/>
        </w:rPr>
        <w:t>8.11</w:t>
      </w:r>
      <w:r>
        <w:rPr>
          <w:rFonts w:hint="eastAsia" w:ascii="仿宋_GB2312" w:hAnsi="楷体" w:eastAsia="仿宋_GB2312"/>
          <w:bCs/>
          <w:color w:val="auto"/>
          <w:kern w:val="0"/>
          <w:sz w:val="32"/>
          <w:szCs w:val="28"/>
        </w:rPr>
        <w:t>分，评价结果为“良好”。其中当年预算执行情况得分1</w:t>
      </w:r>
      <w:r>
        <w:rPr>
          <w:rFonts w:hint="eastAsia" w:ascii="仿宋_GB2312" w:hAnsi="楷体" w:eastAsia="仿宋_GB2312"/>
          <w:bCs/>
          <w:color w:val="auto"/>
          <w:kern w:val="0"/>
          <w:sz w:val="32"/>
          <w:szCs w:val="28"/>
          <w:lang w:val="en-US" w:eastAsia="zh-CN"/>
        </w:rPr>
        <w:t>9.19</w:t>
      </w:r>
      <w:r>
        <w:rPr>
          <w:rFonts w:hint="eastAsia" w:ascii="仿宋_GB2312" w:hAnsi="楷体" w:eastAsia="仿宋_GB2312"/>
          <w:bCs/>
          <w:color w:val="auto"/>
          <w:kern w:val="0"/>
          <w:sz w:val="32"/>
          <w:szCs w:val="28"/>
        </w:rPr>
        <w:t>分；整体绩效目标实现情况得分</w:t>
      </w:r>
      <w:r>
        <w:rPr>
          <w:rFonts w:hint="eastAsia" w:ascii="仿宋_GB2312" w:hAnsi="楷体" w:eastAsia="仿宋_GB2312"/>
          <w:bCs/>
          <w:color w:val="auto"/>
          <w:kern w:val="0"/>
          <w:sz w:val="32"/>
          <w:szCs w:val="28"/>
          <w:lang w:val="en-US" w:eastAsia="zh-CN"/>
        </w:rPr>
        <w:t>51.31</w:t>
      </w:r>
      <w:r>
        <w:rPr>
          <w:rFonts w:hint="eastAsia" w:ascii="仿宋_GB2312" w:hAnsi="楷体" w:eastAsia="仿宋_GB2312"/>
          <w:bCs/>
          <w:color w:val="auto"/>
          <w:kern w:val="0"/>
          <w:sz w:val="32"/>
          <w:szCs w:val="28"/>
        </w:rPr>
        <w:t>分；预算管理情况得分17.</w:t>
      </w:r>
      <w:r>
        <w:rPr>
          <w:rFonts w:hint="eastAsia" w:ascii="仿宋_GB2312" w:hAnsi="楷体" w:eastAsia="仿宋_GB2312"/>
          <w:bCs/>
          <w:color w:val="auto"/>
          <w:kern w:val="0"/>
          <w:sz w:val="32"/>
          <w:szCs w:val="28"/>
          <w:lang w:val="en-US" w:eastAsia="zh-CN"/>
        </w:rPr>
        <w:t>61</w:t>
      </w:r>
      <w:r>
        <w:rPr>
          <w:rFonts w:hint="eastAsia" w:ascii="仿宋_GB2312" w:hAnsi="楷体" w:eastAsia="仿宋_GB2312"/>
          <w:bCs/>
          <w:color w:val="auto"/>
          <w:kern w:val="0"/>
          <w:sz w:val="32"/>
          <w:szCs w:val="28"/>
        </w:rPr>
        <w:t>分。</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default" w:ascii="仿宋_GB2312" w:hAnsi="楷体" w:eastAsia="仿宋_GB2312"/>
          <w:bCs/>
          <w:color w:val="auto"/>
          <w:kern w:val="0"/>
          <w:sz w:val="32"/>
          <w:szCs w:val="28"/>
          <w:lang w:val="en-US" w:eastAsia="zh-CN"/>
        </w:rPr>
      </w:pPr>
      <w:bookmarkStart w:id="318" w:name="_Toc1483"/>
      <w:bookmarkStart w:id="319" w:name="_Toc23640"/>
      <w:bookmarkStart w:id="320" w:name="_Toc1578"/>
      <w:bookmarkStart w:id="321" w:name="_Toc26710"/>
      <w:bookmarkStart w:id="322" w:name="_Toc9270"/>
      <w:bookmarkStart w:id="323" w:name="_Toc25848"/>
      <w:bookmarkStart w:id="324" w:name="_Toc19188"/>
      <w:bookmarkStart w:id="325" w:name="_Toc28354"/>
      <w:bookmarkStart w:id="326" w:name="_Toc24887"/>
      <w:bookmarkStart w:id="327" w:name="_Toc27106"/>
      <w:bookmarkStart w:id="328" w:name="_Toc18495"/>
      <w:r>
        <w:rPr>
          <w:rFonts w:hint="eastAsia" w:ascii="楷体" w:hAnsi="楷体" w:eastAsia="楷体"/>
          <w:b/>
          <w:bCs/>
          <w:color w:val="auto"/>
          <w:sz w:val="32"/>
          <w:szCs w:val="32"/>
        </w:rPr>
        <w:t>（二）存在的问题</w:t>
      </w:r>
      <w:bookmarkEnd w:id="318"/>
      <w:bookmarkEnd w:id="319"/>
      <w:bookmarkEnd w:id="320"/>
      <w:bookmarkEnd w:id="321"/>
      <w:bookmarkEnd w:id="322"/>
      <w:bookmarkEnd w:id="323"/>
      <w:bookmarkEnd w:id="324"/>
      <w:bookmarkEnd w:id="325"/>
      <w:bookmarkEnd w:id="326"/>
      <w:bookmarkEnd w:id="327"/>
      <w:bookmarkEnd w:id="328"/>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i w:val="0"/>
          <w:iCs w:val="0"/>
          <w:caps w:val="0"/>
          <w:spacing w:val="0"/>
          <w:sz w:val="32"/>
          <w:szCs w:val="32"/>
          <w:shd w:val="clear" w:fill="FFFFFF"/>
          <w:lang w:val="en-US" w:eastAsia="zh-CN"/>
        </w:rPr>
      </w:pPr>
      <w:r>
        <w:rPr>
          <w:rFonts w:hint="eastAsia" w:ascii="仿宋_GB2312" w:hAnsi="仿宋_GB2312" w:eastAsia="仿宋_GB2312" w:cs="仿宋_GB2312"/>
          <w:sz w:val="32"/>
          <w:szCs w:val="32"/>
          <w:lang w:val="en-US" w:eastAsia="zh-CN"/>
        </w:rPr>
        <w:t>1.部门整体及部分项目绩效指标设置仍需完善。</w:t>
      </w:r>
      <w:r>
        <w:rPr>
          <w:rFonts w:hint="eastAsia" w:ascii="仿宋_GB2312" w:hAnsi="仿宋_GB2312" w:eastAsia="仿宋_GB2312" w:cs="仿宋_GB2312"/>
          <w:i w:val="0"/>
          <w:iCs w:val="0"/>
          <w:caps w:val="0"/>
          <w:spacing w:val="0"/>
          <w:sz w:val="32"/>
          <w:szCs w:val="32"/>
          <w:shd w:val="clear" w:fill="FFFFFF"/>
          <w:lang w:val="en-US" w:eastAsia="zh-CN"/>
        </w:rPr>
        <w:t>部分项目产出和</w:t>
      </w:r>
      <w:r>
        <w:rPr>
          <w:rFonts w:hint="eastAsia" w:ascii="仿宋_GB2312" w:hAnsi="仿宋_GB2312" w:eastAsia="仿宋_GB2312" w:cs="仿宋_GB2312"/>
          <w:i w:val="0"/>
          <w:iCs w:val="0"/>
          <w:caps w:val="0"/>
          <w:spacing w:val="0"/>
          <w:sz w:val="32"/>
          <w:szCs w:val="32"/>
          <w:shd w:val="clear" w:fill="FFFFFF"/>
        </w:rPr>
        <w:t>效</w:t>
      </w:r>
      <w:r>
        <w:rPr>
          <w:rFonts w:hint="eastAsia" w:ascii="仿宋_GB2312" w:hAnsi="仿宋_GB2312" w:eastAsia="仿宋_GB2312" w:cs="仿宋_GB2312"/>
          <w:i w:val="0"/>
          <w:iCs w:val="0"/>
          <w:caps w:val="0"/>
          <w:spacing w:val="0"/>
          <w:sz w:val="32"/>
          <w:szCs w:val="32"/>
          <w:shd w:val="clear" w:fill="FFFFFF"/>
          <w:lang w:val="en-US" w:eastAsia="zh-CN"/>
        </w:rPr>
        <w:t>果</w:t>
      </w:r>
      <w:r>
        <w:rPr>
          <w:rFonts w:hint="eastAsia" w:ascii="仿宋_GB2312" w:hAnsi="仿宋_GB2312" w:eastAsia="仿宋_GB2312" w:cs="仿宋_GB2312"/>
          <w:i w:val="0"/>
          <w:iCs w:val="0"/>
          <w:caps w:val="0"/>
          <w:spacing w:val="0"/>
          <w:sz w:val="32"/>
          <w:szCs w:val="32"/>
          <w:shd w:val="clear" w:fill="FFFFFF"/>
        </w:rPr>
        <w:t>指标</w:t>
      </w:r>
      <w:r>
        <w:rPr>
          <w:rFonts w:hint="eastAsia" w:ascii="仿宋_GB2312" w:hAnsi="仿宋_GB2312" w:eastAsia="仿宋_GB2312" w:cs="仿宋_GB2312"/>
          <w:i w:val="0"/>
          <w:iCs w:val="0"/>
          <w:caps w:val="0"/>
          <w:spacing w:val="0"/>
          <w:sz w:val="32"/>
          <w:szCs w:val="32"/>
          <w:shd w:val="clear" w:fill="FFFFFF"/>
          <w:lang w:val="en-US" w:eastAsia="zh-CN"/>
        </w:rPr>
        <w:t>为</w:t>
      </w:r>
      <w:r>
        <w:rPr>
          <w:rFonts w:hint="eastAsia" w:ascii="仿宋_GB2312" w:hAnsi="仿宋_GB2312" w:eastAsia="仿宋_GB2312" w:cs="仿宋_GB2312"/>
          <w:i w:val="0"/>
          <w:iCs w:val="0"/>
          <w:caps w:val="0"/>
          <w:spacing w:val="0"/>
          <w:sz w:val="32"/>
          <w:szCs w:val="32"/>
          <w:shd w:val="clear" w:fill="FFFFFF"/>
        </w:rPr>
        <w:t>定性</w:t>
      </w:r>
      <w:r>
        <w:rPr>
          <w:rFonts w:hint="eastAsia" w:ascii="仿宋_GB2312" w:hAnsi="仿宋_GB2312" w:eastAsia="仿宋_GB2312" w:cs="仿宋_GB2312"/>
          <w:i w:val="0"/>
          <w:iCs w:val="0"/>
          <w:caps w:val="0"/>
          <w:spacing w:val="0"/>
          <w:sz w:val="32"/>
          <w:szCs w:val="32"/>
          <w:shd w:val="clear" w:fill="FFFFFF"/>
          <w:lang w:val="en-US" w:eastAsia="zh-CN"/>
        </w:rPr>
        <w:t>指标</w:t>
      </w:r>
      <w:r>
        <w:rPr>
          <w:rFonts w:hint="eastAsia" w:ascii="仿宋_GB2312" w:hAnsi="仿宋_GB2312" w:eastAsia="仿宋_GB2312" w:cs="仿宋_GB2312"/>
          <w:i w:val="0"/>
          <w:iCs w:val="0"/>
          <w:caps w:val="0"/>
          <w:spacing w:val="0"/>
          <w:sz w:val="32"/>
          <w:szCs w:val="32"/>
          <w:shd w:val="clear" w:fill="FFFFFF"/>
        </w:rPr>
        <w:t>，缺乏量化标准</w:t>
      </w:r>
      <w:r>
        <w:rPr>
          <w:rFonts w:hint="eastAsia" w:ascii="仿宋_GB2312" w:hAnsi="仿宋_GB2312" w:eastAsia="仿宋_GB2312" w:cs="仿宋_GB2312"/>
          <w:i w:val="0"/>
          <w:iCs w:val="0"/>
          <w:caps w:val="0"/>
          <w:spacing w:val="0"/>
          <w:sz w:val="32"/>
          <w:szCs w:val="32"/>
          <w:shd w:val="clear" w:fill="FFFFFF"/>
          <w:lang w:eastAsia="zh-CN"/>
        </w:rPr>
        <w:t>；</w:t>
      </w:r>
      <w:r>
        <w:rPr>
          <w:rFonts w:hint="eastAsia" w:ascii="仿宋_GB2312" w:hAnsi="仿宋_GB2312" w:eastAsia="仿宋_GB2312" w:cs="仿宋_GB2312"/>
          <w:i w:val="0"/>
          <w:iCs w:val="0"/>
          <w:caps w:val="0"/>
          <w:spacing w:val="0"/>
          <w:sz w:val="32"/>
          <w:szCs w:val="32"/>
          <w:shd w:val="clear" w:fill="FFFFFF"/>
        </w:rPr>
        <w:t>部分项目产出指标覆盖面不足、</w:t>
      </w:r>
      <w:r>
        <w:rPr>
          <w:rFonts w:hint="eastAsia" w:ascii="仿宋_GB2312" w:hAnsi="仿宋_GB2312" w:eastAsia="仿宋_GB2312" w:cs="仿宋_GB2312"/>
          <w:i w:val="0"/>
          <w:iCs w:val="0"/>
          <w:caps w:val="0"/>
          <w:spacing w:val="0"/>
          <w:sz w:val="32"/>
          <w:szCs w:val="32"/>
          <w:shd w:val="clear" w:fill="FFFFFF"/>
          <w:lang w:val="en-US" w:eastAsia="zh-CN"/>
        </w:rPr>
        <w:t>不够细化</w:t>
      </w:r>
      <w:r>
        <w:rPr>
          <w:rFonts w:hint="eastAsia" w:ascii="仿宋_GB2312" w:hAnsi="仿宋_GB2312" w:eastAsia="仿宋_GB2312" w:cs="仿宋_GB2312"/>
          <w:i w:val="0"/>
          <w:iCs w:val="0"/>
          <w:caps w:val="0"/>
          <w:spacing w:val="0"/>
          <w:sz w:val="32"/>
          <w:szCs w:val="32"/>
          <w:shd w:val="clear" w:fill="FFFFFF"/>
          <w:lang w:eastAsia="zh-CN"/>
        </w:rPr>
        <w:t>；</w:t>
      </w:r>
      <w:r>
        <w:rPr>
          <w:rFonts w:hint="eastAsia" w:ascii="仿宋_GB2312" w:hAnsi="仿宋_GB2312" w:eastAsia="仿宋_GB2312" w:cs="仿宋_GB2312"/>
          <w:i w:val="0"/>
          <w:iCs w:val="0"/>
          <w:caps w:val="0"/>
          <w:spacing w:val="0"/>
          <w:sz w:val="32"/>
          <w:szCs w:val="32"/>
          <w:shd w:val="clear" w:fill="FFFFFF"/>
          <w:lang w:val="en-US" w:eastAsia="zh-CN"/>
        </w:rPr>
        <w:t>部分项目</w:t>
      </w:r>
      <w:r>
        <w:rPr>
          <w:rFonts w:hint="eastAsia" w:ascii="仿宋_GB2312" w:hAnsi="仿宋_GB2312" w:eastAsia="仿宋_GB2312" w:cs="仿宋_GB2312"/>
          <w:i w:val="0"/>
          <w:iCs w:val="0"/>
          <w:caps w:val="0"/>
          <w:spacing w:val="0"/>
          <w:sz w:val="32"/>
          <w:szCs w:val="32"/>
          <w:shd w:val="clear" w:fill="FFFFFF"/>
        </w:rPr>
        <w:t>指标值设定过于保守，</w:t>
      </w:r>
      <w:r>
        <w:rPr>
          <w:rFonts w:hint="eastAsia" w:ascii="仿宋_GB2312" w:hAnsi="仿宋_GB2312" w:eastAsia="仿宋_GB2312" w:cs="仿宋_GB2312"/>
          <w:i w:val="0"/>
          <w:iCs w:val="0"/>
          <w:caps w:val="0"/>
          <w:spacing w:val="0"/>
          <w:sz w:val="32"/>
          <w:szCs w:val="32"/>
          <w:shd w:val="clear" w:fill="FFFFFF"/>
          <w:lang w:val="en-US" w:eastAsia="zh-CN"/>
        </w:rPr>
        <w:t>与实际完成值偏差较大</w:t>
      </w:r>
      <w:r>
        <w:rPr>
          <w:rFonts w:hint="eastAsia" w:ascii="仿宋_GB2312" w:hAnsi="仿宋_GB2312" w:eastAsia="仿宋_GB2312" w:cs="仿宋_GB2312"/>
          <w:i w:val="0"/>
          <w:iCs w:val="0"/>
          <w:caps w:val="0"/>
          <w:spacing w:val="0"/>
          <w:sz w:val="32"/>
          <w:szCs w:val="32"/>
          <w:shd w:val="clear" w:fill="FFFFFF"/>
        </w:rPr>
        <w:t>。</w:t>
      </w:r>
      <w:r>
        <w:rPr>
          <w:rFonts w:hint="eastAsia" w:ascii="仿宋_GB2312" w:hAnsi="仿宋_GB2312" w:eastAsia="仿宋_GB2312" w:cs="仿宋_GB2312"/>
          <w:i w:val="0"/>
          <w:iCs w:val="0"/>
          <w:caps w:val="0"/>
          <w:spacing w:val="0"/>
          <w:sz w:val="32"/>
          <w:szCs w:val="32"/>
          <w:shd w:val="clear" w:fill="FFFFFF"/>
          <w:lang w:val="en-US" w:eastAsia="zh-CN"/>
        </w:rPr>
        <w:t>如本级“北京妇女儿童公益志愿服务推进”项目的数量指标“支持公益伙伴计划创投项目”指标值设置2个，实际完成5个，该项目质量指标、社会效益指标、可持续影响指标为定性表述，缺乏量化指标，主观色彩浓；妇儿中心“妇女儿童公益服务项目”成本指标“培训班=300元/人/天”，仅占项目预算4%，未覆盖其他重要分项目成本。</w:t>
      </w:r>
    </w:p>
    <w:p>
      <w:pPr>
        <w:spacing w:line="560" w:lineRule="exact"/>
        <w:ind w:left="0" w:leftChars="0" w:firstLine="640" w:firstLineChars="200"/>
        <w:rPr>
          <w:rFonts w:hint="eastAsia" w:ascii="仿宋_GB2312" w:hAnsi="楷体" w:eastAsia="仿宋_GB2312"/>
          <w:bCs/>
          <w:kern w:val="0"/>
          <w:sz w:val="32"/>
          <w:szCs w:val="28"/>
          <w:lang w:val="en-US" w:eastAsia="zh-CN"/>
        </w:rPr>
      </w:pPr>
      <w:r>
        <w:rPr>
          <w:rFonts w:hint="eastAsia" w:ascii="仿宋_GB2312" w:hAnsi="楷体" w:eastAsia="仿宋_GB2312"/>
          <w:bCs/>
          <w:color w:val="auto"/>
          <w:kern w:val="0"/>
          <w:sz w:val="32"/>
          <w:szCs w:val="28"/>
          <w:lang w:val="en-US" w:eastAsia="zh-CN"/>
        </w:rPr>
        <w:t>2.</w:t>
      </w:r>
      <w:r>
        <w:rPr>
          <w:rFonts w:hint="eastAsia" w:ascii="仿宋_GB2312" w:hAnsi="宋体" w:eastAsia="仿宋_GB2312"/>
          <w:bCs/>
          <w:sz w:val="32"/>
          <w:szCs w:val="32"/>
          <w:lang w:val="en-US" w:eastAsia="zh-CN"/>
        </w:rPr>
        <w:t>预算执行结果与年初预算批复存在较大偏差，未能充分结合历年项目情况和当年工作重点测算，导致年中经费调整比例较大</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如本级“区域合作与京津冀协同发展项目”预算核减幅度为25.34%，且核减后预算执行率为87.14%；发展研究中心</w:t>
      </w:r>
      <w:r>
        <w:rPr>
          <w:rFonts w:hint="eastAsia" w:ascii="仿宋_GB2312" w:hAnsi="楷体" w:eastAsia="仿宋_GB2312"/>
          <w:bCs/>
          <w:kern w:val="0"/>
          <w:sz w:val="32"/>
          <w:szCs w:val="28"/>
          <w:lang w:val="en-US" w:eastAsia="zh-CN"/>
        </w:rPr>
        <w:t>“运行保障经费项目”中个别子项目未支出，占项目预算金额6.76%，但未及时核减。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楷体" w:eastAsia="仿宋_GB2312"/>
          <w:bCs/>
          <w:color w:val="auto"/>
          <w:kern w:val="0"/>
          <w:sz w:val="32"/>
          <w:szCs w:val="28"/>
          <w:lang w:val="en-US" w:eastAsia="zh-CN"/>
        </w:rPr>
        <w:t>3.</w:t>
      </w:r>
      <w:r>
        <w:rPr>
          <w:rFonts w:hint="eastAsia" w:ascii="仿宋_GB2312" w:hAnsi="仿宋_GB2312" w:eastAsia="仿宋_GB2312" w:cs="仿宋_GB2312"/>
          <w:sz w:val="32"/>
          <w:szCs w:val="32"/>
          <w:lang w:val="en-US" w:eastAsia="zh-CN"/>
        </w:rPr>
        <w:t>部分项目</w:t>
      </w:r>
      <w:r>
        <w:rPr>
          <w:rFonts w:hint="eastAsia" w:ascii="仿宋_GB2312" w:hAnsi="仿宋_GB2312" w:eastAsia="仿宋_GB2312" w:cs="仿宋_GB2312"/>
          <w:sz w:val="32"/>
          <w:szCs w:val="32"/>
        </w:rPr>
        <w:t>实施方案要素不全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责任分工、进度安排、应急预案等关键内容缺失，给项目的规范管理和风险防控带来隐患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如妇干部校“妇干校培训教学项目”。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4.项目产出效果资料归集不足，有待进一步提炼挖掘，缺乏从项目整体性进行把握，导致总结内容仅停留在各项具体工作的简单罗列与陈述，缺乏对部门整体目标达成情况、效益效果的深度剖析。如本级“妇女宣传思想政治引领”对第三方机构实施过程的管理和对实施效果的验收资料收集不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5.满意度调查效果有待提升，部分项目满意度调查问卷内容设计较为简单，针对性有待提高，</w:t>
      </w:r>
      <w:r>
        <w:rPr>
          <w:rFonts w:hint="eastAsia" w:ascii="仿宋_GB2312" w:hAnsi="仿宋_GB2312" w:eastAsia="仿宋_GB2312" w:cs="仿宋_GB2312"/>
          <w:sz w:val="32"/>
          <w:szCs w:val="32"/>
        </w:rPr>
        <w:t>服务对象的真实反馈难以精准获取</w:t>
      </w:r>
      <w:r>
        <w:rPr>
          <w:rFonts w:hint="eastAsia" w:ascii="仿宋_GB2312" w:hAnsi="仿宋_GB2312" w:eastAsia="仿宋_GB2312" w:cs="仿宋_GB2312"/>
          <w:sz w:val="32"/>
          <w:szCs w:val="32"/>
          <w:lang w:eastAsia="zh-CN"/>
        </w:rPr>
        <w:t>；</w:t>
      </w:r>
      <w:r>
        <w:rPr>
          <w:rFonts w:hint="eastAsia" w:ascii="仿宋_GB2312" w:hAnsi="楷体" w:eastAsia="仿宋_GB2312"/>
          <w:bCs/>
          <w:color w:val="auto"/>
          <w:kern w:val="0"/>
          <w:sz w:val="32"/>
          <w:szCs w:val="28"/>
          <w:lang w:val="en-US" w:eastAsia="zh-CN"/>
        </w:rPr>
        <w:t>部分项目调查样本数量及覆盖范围较小，影响调查结果的精确度和代表性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部分项目</w:t>
      </w:r>
      <w:r>
        <w:rPr>
          <w:rFonts w:hint="eastAsia" w:ascii="仿宋_GB2312" w:hAnsi="仿宋_GB2312" w:eastAsia="仿宋_GB2312" w:cs="仿宋_GB2312"/>
          <w:sz w:val="32"/>
          <w:szCs w:val="32"/>
        </w:rPr>
        <w:t>对调查结果</w:t>
      </w:r>
      <w:r>
        <w:rPr>
          <w:rFonts w:hint="eastAsia" w:ascii="仿宋_GB2312" w:hAnsi="仿宋_GB2312" w:eastAsia="仿宋_GB2312" w:cs="仿宋_GB2312"/>
          <w:sz w:val="32"/>
          <w:szCs w:val="32"/>
          <w:lang w:val="en-US" w:eastAsia="zh-CN"/>
        </w:rPr>
        <w:t>未进行分析或</w:t>
      </w:r>
      <w:r>
        <w:rPr>
          <w:rFonts w:hint="eastAsia" w:ascii="仿宋_GB2312" w:hAnsi="仿宋_GB2312" w:eastAsia="仿宋_GB2312" w:cs="仿宋_GB2312"/>
          <w:sz w:val="32"/>
          <w:szCs w:val="32"/>
        </w:rPr>
        <w:t>分析不够深入，使得满意度调查未能充分发挥其对工作改进的指导作用。</w:t>
      </w:r>
      <w:r>
        <w:rPr>
          <w:rFonts w:hint="eastAsia" w:ascii="仿宋_GB2312" w:hAnsi="仿宋_GB2312" w:eastAsia="仿宋_GB2312" w:cs="仿宋_GB2312"/>
          <w:sz w:val="32"/>
          <w:szCs w:val="32"/>
          <w:lang w:val="en-US" w:eastAsia="zh-CN"/>
        </w:rPr>
        <w:t>如本级“妇女统战联谊工作”项目和国际交流中心“运行保障工作经费”项目。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仿宋_GB2312" w:hAnsi="楷体" w:eastAsia="仿宋_GB2312"/>
          <w:bCs/>
          <w:color w:val="auto"/>
          <w:kern w:val="0"/>
          <w:sz w:val="32"/>
          <w:szCs w:val="28"/>
          <w:lang w:val="en-US" w:eastAsia="zh-CN"/>
        </w:rPr>
      </w:pPr>
      <w:bookmarkStart w:id="329" w:name="_Toc1333"/>
      <w:bookmarkStart w:id="330" w:name="_Toc10316"/>
      <w:bookmarkStart w:id="331" w:name="_Toc4918"/>
      <w:bookmarkStart w:id="332" w:name="_Toc9137"/>
      <w:bookmarkStart w:id="333" w:name="_Toc30384"/>
      <w:bookmarkStart w:id="334" w:name="_Toc28368"/>
      <w:bookmarkStart w:id="335" w:name="_Toc30259"/>
      <w:bookmarkStart w:id="336" w:name="_Toc15485"/>
      <w:bookmarkStart w:id="337" w:name="_Toc29488"/>
      <w:bookmarkStart w:id="338" w:name="_Toc28454"/>
      <w:bookmarkStart w:id="339" w:name="_Toc2985"/>
      <w:r>
        <w:rPr>
          <w:rFonts w:hint="eastAsia" w:ascii="黑体" w:hAnsi="黑体" w:eastAsia="黑体" w:cs="宋体"/>
          <w:color w:val="auto"/>
          <w:kern w:val="0"/>
          <w:sz w:val="32"/>
          <w:szCs w:val="32"/>
        </w:rPr>
        <w:t>六、措施建议</w:t>
      </w:r>
      <w:bookmarkEnd w:id="329"/>
      <w:bookmarkEnd w:id="330"/>
      <w:bookmarkEnd w:id="331"/>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1.</w:t>
      </w:r>
      <w:r>
        <w:rPr>
          <w:rFonts w:hint="eastAsia" w:ascii="仿宋_GB2312" w:hAnsi="仿宋_GB2312" w:eastAsia="仿宋_GB2312" w:cs="仿宋_GB2312"/>
          <w:sz w:val="32"/>
          <w:szCs w:val="32"/>
        </w:rPr>
        <w:t>科学</w:t>
      </w:r>
      <w:r>
        <w:rPr>
          <w:rFonts w:hint="eastAsia" w:ascii="仿宋_GB2312" w:hAnsi="楷体" w:eastAsia="仿宋_GB2312"/>
          <w:bCs/>
          <w:color w:val="auto"/>
          <w:kern w:val="0"/>
          <w:sz w:val="32"/>
          <w:szCs w:val="28"/>
          <w:lang w:val="en-US" w:eastAsia="zh-CN"/>
        </w:rPr>
        <w:t>合理设置绩效指标。</w:t>
      </w:r>
      <w:r>
        <w:rPr>
          <w:rFonts w:hint="eastAsia" w:ascii="仿宋_GB2312" w:hAnsi="仿宋_GB2312" w:eastAsia="仿宋_GB2312" w:cs="仿宋_GB2312"/>
          <w:sz w:val="32"/>
          <w:szCs w:val="32"/>
        </w:rPr>
        <w:t>紧密围绕单位职责、年度重点工作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历年工作经验</w:t>
      </w:r>
      <w:r>
        <w:rPr>
          <w:rFonts w:hint="eastAsia" w:ascii="仿宋_GB2312" w:hAnsi="仿宋_GB2312" w:eastAsia="仿宋_GB2312" w:cs="仿宋_GB2312"/>
          <w:sz w:val="32"/>
          <w:szCs w:val="32"/>
          <w:lang w:val="en-US" w:eastAsia="zh-CN"/>
        </w:rPr>
        <w:t>和项目计划安排</w:t>
      </w:r>
      <w:r>
        <w:rPr>
          <w:rFonts w:hint="eastAsia" w:ascii="仿宋_GB2312" w:hAnsi="仿宋_GB2312" w:eastAsia="仿宋_GB2312" w:cs="仿宋_GB2312"/>
          <w:sz w:val="32"/>
          <w:szCs w:val="32"/>
        </w:rPr>
        <w:t>，科学合理地设置绩效指标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采用可量化的、清晰明确的指标和标准，</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评价主观性，</w:t>
      </w:r>
      <w:r>
        <w:rPr>
          <w:rFonts w:hint="eastAsia" w:ascii="仿宋_GB2312" w:hAnsi="仿宋_GB2312" w:eastAsia="仿宋_GB2312" w:cs="仿宋_GB2312"/>
          <w:sz w:val="32"/>
          <w:szCs w:val="32"/>
          <w:lang w:val="en-US" w:eastAsia="zh-CN"/>
        </w:rPr>
        <w:t>结合工作内容的重要程度充分考虑指标覆盖面，</w:t>
      </w:r>
      <w:r>
        <w:rPr>
          <w:rFonts w:hint="eastAsia" w:ascii="仿宋_GB2312" w:hAnsi="仿宋_GB2312" w:eastAsia="仿宋_GB2312" w:cs="仿宋_GB2312"/>
          <w:sz w:val="32"/>
          <w:szCs w:val="32"/>
        </w:rPr>
        <w:t>确保绩效指标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科学性、精准性与可实现性，为部门绩效管理工作奠定坚实基础。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楷体" w:eastAsia="仿宋_GB2312"/>
          <w:bCs/>
          <w:color w:val="auto"/>
          <w:kern w:val="0"/>
          <w:sz w:val="32"/>
          <w:szCs w:val="28"/>
          <w:lang w:val="en-US" w:eastAsia="zh-CN"/>
        </w:rPr>
        <w:t>2.强化预算测算的精准性和依据性。</w:t>
      </w:r>
      <w:r>
        <w:rPr>
          <w:rFonts w:hint="eastAsia" w:ascii="仿宋_GB2312" w:hAnsi="Times New Roman" w:eastAsia="仿宋_GB2312" w:cs="宋体"/>
          <w:color w:val="auto"/>
          <w:kern w:val="0"/>
          <w:sz w:val="32"/>
          <w:szCs w:val="32"/>
          <w:lang w:val="en-US" w:eastAsia="zh-CN"/>
        </w:rPr>
        <w:t>根据实际情况编制预算，明确编制依据，</w:t>
      </w:r>
      <w:r>
        <w:rPr>
          <w:rFonts w:hint="eastAsia" w:ascii="仿宋_GB2312" w:hAnsi="Times New Roman" w:eastAsia="仿宋_GB2312" w:cs="宋体"/>
          <w:color w:val="auto"/>
          <w:kern w:val="0"/>
          <w:sz w:val="32"/>
          <w:szCs w:val="32"/>
        </w:rPr>
        <w:t>提高项目经济性</w:t>
      </w:r>
      <w:r>
        <w:rPr>
          <w:rFonts w:hint="eastAsia" w:ascii="仿宋_GB2312" w:hAnsi="Times New Roman" w:eastAsia="仿宋_GB2312" w:cs="宋体"/>
          <w:color w:val="auto"/>
          <w:kern w:val="0"/>
          <w:sz w:val="32"/>
          <w:szCs w:val="32"/>
          <w:lang w:val="en-US" w:eastAsia="zh-CN"/>
        </w:rPr>
        <w:t>，</w:t>
      </w:r>
      <w:r>
        <w:rPr>
          <w:rFonts w:hint="eastAsia" w:ascii="仿宋_GB2312" w:hAnsi="楷体" w:eastAsia="仿宋_GB2312"/>
          <w:bCs/>
          <w:color w:val="auto"/>
          <w:kern w:val="0"/>
          <w:sz w:val="32"/>
          <w:szCs w:val="28"/>
          <w:lang w:val="en-US" w:eastAsia="zh-CN"/>
        </w:rPr>
        <w:t>做到把钱花在刀刃上，提升财政资金使用效益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3.</w:t>
      </w:r>
      <w:r>
        <w:rPr>
          <w:rFonts w:hint="eastAsia" w:ascii="仿宋_GB2312" w:hAnsi="仿宋_GB2312" w:eastAsia="仿宋_GB2312" w:cs="仿宋_GB2312"/>
          <w:sz w:val="32"/>
          <w:szCs w:val="32"/>
        </w:rPr>
        <w:t>加强项目实施方案的</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与管理工作，完善实施方案内容，补充</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责任分工、进度安排、应急预案</w:t>
      </w:r>
      <w:r>
        <w:rPr>
          <w:rFonts w:hint="eastAsia" w:ascii="仿宋_GB2312" w:hAnsi="仿宋_GB2312" w:eastAsia="仿宋_GB2312" w:cs="仿宋_GB2312"/>
          <w:sz w:val="32"/>
          <w:szCs w:val="32"/>
          <w:lang w:val="en-US" w:eastAsia="zh-CN"/>
        </w:rPr>
        <w:t>等要素内容，</w:t>
      </w:r>
      <w:r>
        <w:rPr>
          <w:rFonts w:hint="eastAsia" w:ascii="仿宋_GB2312" w:hAnsi="楷体" w:eastAsia="仿宋_GB2312"/>
          <w:bCs/>
          <w:color w:val="auto"/>
          <w:kern w:val="0"/>
          <w:sz w:val="32"/>
          <w:szCs w:val="28"/>
          <w:lang w:val="en-US" w:eastAsia="zh-CN"/>
        </w:rPr>
        <w:t>强化对项目的组织实施、过程监管，增强风险管理意识，重点关注敏感节点，有效避免风险发生。强化规范管理意识，针对问题导向，结合项目特点，持续完善相关项目管理制度，并严格落实。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楷体" w:eastAsia="仿宋_GB2312"/>
          <w:bCs/>
          <w:color w:val="auto"/>
          <w:kern w:val="0"/>
          <w:sz w:val="32"/>
          <w:szCs w:val="28"/>
          <w:lang w:val="en-US" w:eastAsia="zh-CN"/>
        </w:rPr>
      </w:pPr>
      <w:r>
        <w:rPr>
          <w:rFonts w:hint="eastAsia" w:ascii="仿宋_GB2312" w:hAnsi="楷体" w:eastAsia="仿宋_GB2312"/>
          <w:bCs/>
          <w:color w:val="auto"/>
          <w:kern w:val="0"/>
          <w:sz w:val="32"/>
          <w:szCs w:val="28"/>
          <w:lang w:val="en-US" w:eastAsia="zh-CN"/>
        </w:rPr>
        <w:t>4.</w:t>
      </w:r>
      <w:r>
        <w:rPr>
          <w:rFonts w:hint="eastAsia" w:ascii="仿宋_GB2312" w:hAnsi="仿宋_GB2312" w:eastAsia="仿宋_GB2312" w:cs="仿宋_GB2312"/>
          <w:i w:val="0"/>
          <w:iCs w:val="0"/>
          <w:caps w:val="0"/>
          <w:spacing w:val="0"/>
          <w:sz w:val="32"/>
          <w:szCs w:val="32"/>
          <w:shd w:val="clear" w:fill="FFFFFF"/>
        </w:rPr>
        <w:t>注重项目产出和效</w:t>
      </w:r>
      <w:r>
        <w:rPr>
          <w:rFonts w:hint="eastAsia" w:ascii="仿宋_GB2312" w:hAnsi="仿宋_GB2312" w:eastAsia="仿宋_GB2312" w:cs="仿宋_GB2312"/>
          <w:i w:val="0"/>
          <w:iCs w:val="0"/>
          <w:caps w:val="0"/>
          <w:spacing w:val="0"/>
          <w:sz w:val="32"/>
          <w:szCs w:val="32"/>
          <w:shd w:val="clear" w:fill="FFFFFF"/>
          <w:lang w:val="en-US" w:eastAsia="zh-CN"/>
        </w:rPr>
        <w:t>果的</w:t>
      </w:r>
      <w:r>
        <w:rPr>
          <w:rFonts w:hint="eastAsia" w:ascii="仿宋_GB2312" w:hAnsi="仿宋_GB2312" w:eastAsia="仿宋_GB2312" w:cs="仿宋_GB2312"/>
          <w:i w:val="0"/>
          <w:iCs w:val="0"/>
          <w:caps w:val="0"/>
          <w:spacing w:val="0"/>
          <w:sz w:val="32"/>
          <w:szCs w:val="32"/>
          <w:shd w:val="clear" w:fill="FFFFFF"/>
        </w:rPr>
        <w:t>资料的归集提炼</w:t>
      </w:r>
      <w:r>
        <w:rPr>
          <w:rFonts w:hint="eastAsia" w:ascii="仿宋_GB2312" w:hAnsi="仿宋_GB2312" w:eastAsia="仿宋_GB2312" w:cs="仿宋_GB2312"/>
          <w:i w:val="0"/>
          <w:iCs w:val="0"/>
          <w:caps w:val="0"/>
          <w:spacing w:val="0"/>
          <w:sz w:val="32"/>
          <w:szCs w:val="32"/>
          <w:shd w:val="clear" w:fill="FFFFFF"/>
          <w:lang w:eastAsia="zh-CN"/>
        </w:rPr>
        <w:t>，</w:t>
      </w:r>
      <w:r>
        <w:rPr>
          <w:rFonts w:hint="eastAsia" w:ascii="仿宋_GB2312" w:hAnsi="楷体" w:eastAsia="仿宋_GB2312"/>
          <w:bCs/>
          <w:color w:val="auto"/>
          <w:kern w:val="0"/>
          <w:sz w:val="32"/>
          <w:szCs w:val="28"/>
          <w:lang w:val="en-US" w:eastAsia="zh-CN"/>
        </w:rPr>
        <w:t>加强对指标完成情况的总结分析</w:t>
      </w:r>
      <w:r>
        <w:rPr>
          <w:rFonts w:hint="eastAsia" w:ascii="仿宋_GB2312" w:hAnsi="仿宋_GB2312" w:eastAsia="仿宋_GB2312" w:cs="仿宋_GB2312"/>
          <w:i w:val="0"/>
          <w:iCs w:val="0"/>
          <w:caps w:val="0"/>
          <w:spacing w:val="0"/>
          <w:sz w:val="32"/>
          <w:szCs w:val="32"/>
          <w:shd w:val="clear" w:fill="FFFFFF"/>
        </w:rPr>
        <w:t>，保证绩效产出证明材料的完整性，</w:t>
      </w:r>
      <w:r>
        <w:rPr>
          <w:rFonts w:hint="eastAsia" w:ascii="仿宋_GB2312" w:hAnsi="仿宋_GB2312" w:eastAsia="仿宋_GB2312" w:cs="仿宋_GB2312"/>
          <w:i w:val="0"/>
          <w:iCs w:val="0"/>
          <w:caps w:val="0"/>
          <w:spacing w:val="0"/>
          <w:sz w:val="32"/>
          <w:szCs w:val="32"/>
          <w:shd w:val="clear" w:fill="FFFFFF"/>
          <w:lang w:val="en-US" w:eastAsia="zh-CN"/>
        </w:rPr>
        <w:t>做到</w:t>
      </w:r>
      <w:r>
        <w:rPr>
          <w:rFonts w:hint="eastAsia" w:ascii="仿宋_GB2312" w:hAnsi="仿宋_GB2312" w:eastAsia="仿宋_GB2312" w:cs="仿宋_GB2312"/>
          <w:i w:val="0"/>
          <w:iCs w:val="0"/>
          <w:caps w:val="0"/>
          <w:spacing w:val="0"/>
          <w:sz w:val="32"/>
          <w:szCs w:val="32"/>
          <w:shd w:val="clear" w:fill="FFFFFF"/>
        </w:rPr>
        <w:t>对应产出都有相应的效果资料</w:t>
      </w:r>
      <w:r>
        <w:rPr>
          <w:rFonts w:hint="eastAsia" w:ascii="仿宋_GB2312" w:hAnsi="楷体" w:eastAsia="仿宋_GB2312"/>
          <w:bCs/>
          <w:color w:val="auto"/>
          <w:kern w:val="0"/>
          <w:sz w:val="32"/>
          <w:szCs w:val="28"/>
          <w:lang w:val="en-US" w:eastAsia="zh-CN"/>
        </w:rPr>
        <w:t>，</w:t>
      </w:r>
      <w:r>
        <w:rPr>
          <w:rFonts w:hint="eastAsia" w:ascii="仿宋_GB2312" w:hAnsi="仿宋_GB2312" w:eastAsia="仿宋_GB2312" w:cs="仿宋_GB2312"/>
          <w:i w:val="0"/>
          <w:iCs w:val="0"/>
          <w:caps w:val="0"/>
          <w:spacing w:val="0"/>
          <w:sz w:val="32"/>
          <w:szCs w:val="32"/>
          <w:shd w:val="clear" w:fill="FFFFFF"/>
        </w:rPr>
        <w:t>充分证明绩效目标的实施效果</w:t>
      </w:r>
      <w:r>
        <w:rPr>
          <w:rFonts w:hint="eastAsia" w:ascii="仿宋_GB2312" w:hAnsi="楷体" w:eastAsia="仿宋_GB2312"/>
          <w:bCs/>
          <w:color w:val="auto"/>
          <w:kern w:val="0"/>
          <w:sz w:val="32"/>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仿宋_GB2312" w:hAnsi="楷体" w:eastAsia="仿宋_GB2312"/>
          <w:bCs/>
          <w:color w:val="auto"/>
          <w:kern w:val="0"/>
          <w:sz w:val="32"/>
          <w:szCs w:val="28"/>
          <w:lang w:val="en-US" w:eastAsia="zh-CN"/>
        </w:rPr>
        <w:t>5.完善满意度调查分析工作，从多维度丰富满意度调查问卷的内容，根据服务对象数量合理确定样本量，提升调查结果的准确度，深入分析调查结果，为未来工作的持续完善提供一定的指引。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ascii="黑体" w:hAnsi="黑体" w:eastAsia="黑体" w:cs="宋体"/>
          <w:color w:val="auto"/>
          <w:kern w:val="0"/>
          <w:sz w:val="32"/>
          <w:szCs w:val="32"/>
        </w:rPr>
      </w:pPr>
      <w:bookmarkStart w:id="340" w:name="_Toc14648"/>
      <w:bookmarkStart w:id="341" w:name="_Toc13082"/>
      <w:bookmarkStart w:id="342" w:name="_Toc22806"/>
      <w:bookmarkStart w:id="343" w:name="_Toc7976"/>
      <w:bookmarkStart w:id="344" w:name="_Toc27268"/>
      <w:bookmarkStart w:id="345" w:name="_Toc16028"/>
      <w:bookmarkStart w:id="346" w:name="_Toc9662"/>
      <w:bookmarkStart w:id="347" w:name="_Toc8939"/>
      <w:bookmarkStart w:id="348" w:name="_Toc3536"/>
      <w:bookmarkStart w:id="349" w:name="_Toc20614"/>
      <w:bookmarkStart w:id="350" w:name="_Toc14665"/>
      <w:r>
        <w:rPr>
          <w:rFonts w:hint="eastAsia" w:ascii="黑体" w:hAnsi="黑体" w:eastAsia="黑体" w:cs="宋体"/>
          <w:color w:val="auto"/>
          <w:kern w:val="0"/>
          <w:sz w:val="32"/>
          <w:szCs w:val="32"/>
        </w:rPr>
        <w:t>七、附件</w:t>
      </w:r>
      <w:bookmarkEnd w:id="340"/>
      <w:bookmarkEnd w:id="341"/>
      <w:bookmarkEnd w:id="342"/>
      <w:bookmarkEnd w:id="343"/>
      <w:bookmarkEnd w:id="344"/>
      <w:bookmarkEnd w:id="345"/>
      <w:bookmarkEnd w:id="346"/>
      <w:bookmarkEnd w:id="347"/>
      <w:bookmarkEnd w:id="348"/>
      <w:bookmarkEnd w:id="349"/>
      <w:bookmarkEnd w:id="35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方正小标宋简体" w:hAnsi="黑体" w:eastAsia="方正小标宋简体" w:cs="宋体"/>
          <w:color w:val="auto"/>
          <w:kern w:val="0"/>
          <w:sz w:val="44"/>
          <w:szCs w:val="44"/>
        </w:rPr>
      </w:pPr>
      <w:r>
        <w:rPr>
          <w:rFonts w:hint="eastAsia" w:ascii="仿宋_GB2312" w:hAnsi="楷体" w:eastAsia="仿宋_GB2312"/>
          <w:bCs/>
          <w:color w:val="auto"/>
          <w:kern w:val="0"/>
          <w:sz w:val="32"/>
          <w:szCs w:val="28"/>
        </w:rPr>
        <w:t>202</w:t>
      </w:r>
      <w:r>
        <w:rPr>
          <w:rFonts w:hint="eastAsia" w:ascii="仿宋_GB2312" w:hAnsi="楷体" w:eastAsia="仿宋_GB2312"/>
          <w:bCs/>
          <w:color w:val="auto"/>
          <w:kern w:val="0"/>
          <w:sz w:val="32"/>
          <w:szCs w:val="28"/>
          <w:lang w:val="en-US" w:eastAsia="zh-CN"/>
        </w:rPr>
        <w:t>4</w:t>
      </w:r>
      <w:r>
        <w:rPr>
          <w:rFonts w:hint="eastAsia" w:ascii="仿宋_GB2312" w:hAnsi="楷体" w:eastAsia="仿宋_GB2312"/>
          <w:bCs/>
          <w:color w:val="auto"/>
          <w:kern w:val="0"/>
          <w:sz w:val="32"/>
          <w:szCs w:val="28"/>
        </w:rPr>
        <w:t>年部门整体绩效评价指标体系评分表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sectPr>
          <w:pgSz w:w="11906" w:h="16838"/>
          <w:pgMar w:top="1440" w:right="1800" w:bottom="1440" w:left="1800" w:header="851" w:footer="992" w:gutter="0"/>
          <w:pgNumType w:fmt="decimal" w:start="1"/>
          <w:cols w:space="425" w:num="1"/>
          <w:titlePg/>
          <w:docGrid w:type="lines" w:linePitch="312" w:charSpace="0"/>
        </w:sectPr>
      </w:pPr>
    </w:p>
    <w:p>
      <w:pPr>
        <w:spacing w:line="20" w:lineRule="exact"/>
        <w:ind w:left="-21" w:leftChars="-10" w:right="42" w:rightChars="20"/>
        <w:rPr>
          <w:color w:val="auto"/>
        </w:rPr>
      </w:pPr>
    </w:p>
    <w:p>
      <w:pPr>
        <w:rPr>
          <w:rFonts w:ascii="黑体" w:hAnsi="黑体" w:eastAsia="黑体"/>
          <w:color w:val="auto"/>
          <w:sz w:val="32"/>
          <w:szCs w:val="32"/>
        </w:rPr>
      </w:pPr>
      <w:r>
        <w:rPr>
          <w:rFonts w:hint="eastAsia" w:ascii="黑体" w:hAnsi="黑体" w:eastAsia="黑体"/>
          <w:color w:val="auto"/>
          <w:sz w:val="32"/>
          <w:szCs w:val="32"/>
        </w:rPr>
        <w:t>附件</w:t>
      </w:r>
    </w:p>
    <w:p>
      <w:pPr>
        <w:spacing w:line="600" w:lineRule="exact"/>
        <w:jc w:val="center"/>
        <w:rPr>
          <w:rFonts w:ascii="仿宋_GB2312" w:hAnsi="宋体" w:eastAsia="仿宋_GB2312" w:cs="宋体"/>
          <w:color w:val="auto"/>
          <w:kern w:val="0"/>
          <w:sz w:val="32"/>
          <w:szCs w:val="32"/>
        </w:rPr>
      </w:pPr>
      <w:r>
        <w:rPr>
          <w:rFonts w:hint="eastAsia" w:ascii="方正小标宋简体" w:hAnsi="黑体" w:eastAsia="方正小标宋简体" w:cs="宋体"/>
          <w:color w:val="auto"/>
          <w:kern w:val="0"/>
          <w:sz w:val="44"/>
          <w:szCs w:val="44"/>
        </w:rPr>
        <w:t>202</w:t>
      </w:r>
      <w:r>
        <w:rPr>
          <w:rFonts w:hint="eastAsia" w:ascii="方正小标宋简体" w:hAnsi="黑体" w:eastAsia="方正小标宋简体" w:cs="宋体"/>
          <w:color w:val="auto"/>
          <w:kern w:val="0"/>
          <w:sz w:val="44"/>
          <w:szCs w:val="44"/>
          <w:lang w:val="en-US" w:eastAsia="zh-CN"/>
        </w:rPr>
        <w:t>4</w:t>
      </w:r>
      <w:r>
        <w:rPr>
          <w:rFonts w:hint="eastAsia" w:ascii="方正小标宋简体" w:hAnsi="黑体" w:eastAsia="方正小标宋简体" w:cs="宋体"/>
          <w:color w:val="auto"/>
          <w:kern w:val="0"/>
          <w:sz w:val="44"/>
          <w:szCs w:val="44"/>
        </w:rPr>
        <w:t>年部门整体绩效评价指标体系评分表</w:t>
      </w:r>
    </w:p>
    <w:tbl>
      <w:tblPr>
        <w:tblStyle w:val="22"/>
        <w:tblW w:w="14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2"/>
        <w:gridCol w:w="1174"/>
        <w:gridCol w:w="1655"/>
        <w:gridCol w:w="2557"/>
        <w:gridCol w:w="5951"/>
        <w:gridCol w:w="822"/>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预算数（万元）</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执行数（万元）</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当年预算执行情况（20）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资金总体</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9,155.843977</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8,784.452324</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95.94%</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5,993.845110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5,793.523995</w:t>
            </w:r>
          </w:p>
        </w:tc>
        <w:tc>
          <w:tcPr>
            <w:tcW w:w="5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3,161.998867</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2,990.928329</w:t>
            </w:r>
          </w:p>
        </w:tc>
        <w:tc>
          <w:tcPr>
            <w:tcW w:w="5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　</w:t>
            </w:r>
          </w:p>
        </w:tc>
        <w:tc>
          <w:tcPr>
            <w:tcW w:w="16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　</w:t>
            </w: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2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整体绩效目标实现情况（60）</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产出（30）</w:t>
            </w:r>
          </w:p>
        </w:tc>
        <w:tc>
          <w:tcPr>
            <w:tcW w:w="1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全年开展项目数量29个　</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29</w:t>
            </w:r>
            <w:r>
              <w:rPr>
                <w:rFonts w:hint="eastAsia" w:ascii="宋体" w:hAnsi="宋体" w:eastAsia="宋体" w:cs="宋体"/>
                <w:i w:val="0"/>
                <w:iCs w:val="0"/>
                <w:color w:val="000000"/>
                <w:kern w:val="0"/>
                <w:sz w:val="20"/>
                <w:szCs w:val="20"/>
                <w:u w:val="none"/>
                <w:lang w:val="en-US" w:eastAsia="zh-CN" w:bidi="ar"/>
              </w:rPr>
              <w:t>个</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拍摄制作新蕊微视频≥20个</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20个</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2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微博微信等运维≥520次</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超520次</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妇女代表联系制活动≥2场</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2场</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2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妇联组织建设领域＝3次</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9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婚姻调解案件数量≥13000件</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17136件</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寻找首都最美家庭线下活动≥5场</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5场</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妇女体育文化活动≥8场</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10场</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寻找首都最美家庭数量＝350户</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350户</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宣传报道≥400条</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430余条</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巾帼志愿服务阳光站建设得到提升</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阳光站调研与指导手册编写完成，一站一品初见端倪。</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男女平等意识不断提高</w:t>
            </w:r>
          </w:p>
        </w:tc>
        <w:tc>
          <w:tcPr>
            <w:tcW w:w="59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主流思想舆论持续巩固，各类优秀女性典型得到展示。</w:t>
            </w:r>
          </w:p>
        </w:tc>
        <w:tc>
          <w:tcPr>
            <w:tcW w:w="822"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家庭教育工作体系建设验收合格率100%</w:t>
            </w:r>
          </w:p>
        </w:tc>
        <w:tc>
          <w:tcPr>
            <w:tcW w:w="59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验收合格率100%，工作队伍、阵地、平台等不断完善，横向联合、纵向联动工作体系不断健全。有宣传示范效应。</w:t>
            </w:r>
          </w:p>
        </w:tc>
        <w:tc>
          <w:tcPr>
            <w:tcW w:w="82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社会组织能力提升</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在市妇联及三方指导、督促、监测下社会组织实施项目以及服务妇女儿童家庭的能力有所提升，对基层情况也更加了解。</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按时完成全年项目</w:t>
            </w:r>
          </w:p>
        </w:tc>
        <w:tc>
          <w:tcPr>
            <w:tcW w:w="59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w:t>
            </w:r>
          </w:p>
        </w:tc>
        <w:tc>
          <w:tcPr>
            <w:tcW w:w="822"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部门整体预算控制在9,155.843977万元以内</w:t>
            </w:r>
          </w:p>
        </w:tc>
        <w:tc>
          <w:tcPr>
            <w:tcW w:w="59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实际预算支出8,784.452324万元</w:t>
            </w:r>
          </w:p>
        </w:tc>
        <w:tc>
          <w:tcPr>
            <w:tcW w:w="82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效果（30）</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宣传各类优秀典型</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各类优秀典型得到宣传</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加强妇女思想政治引领</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妇女思想政治引领得到加强</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49"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提供家庭教育指导服务</w:t>
            </w:r>
          </w:p>
        </w:tc>
        <w:tc>
          <w:tcPr>
            <w:tcW w:w="5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构建覆盖城乡的家庭教育指导服务体系，引导家长更好地承担家庭教育主体责任，参与推动优化生育政策落地,助力儿童全面健康成长。优良家风进一步倡扬；最美家庭的示范带动作用进一步凸显，荣誉感和获得感进一步增强。</w:t>
            </w: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1"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参加群众满意度≥90%</w:t>
            </w:r>
          </w:p>
        </w:tc>
        <w:tc>
          <w:tcPr>
            <w:tcW w:w="59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822"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9"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受益妇女满意度≥80%</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2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129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群众满意度≥85%</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2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　</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　</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预算管理情况（20）</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财务管理制度健全性</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建立相关财务管理制度，且完整、合规</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相关财务管理制度完整、规范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0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资金使用合规性和安全性</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资金使用符合相关管理要求，使用合规、安全</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资金使用符合要求、规范执行</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会计基础信息完善性</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基础数据信息和会计信息资料、完整、准确</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单位基础数据信息和会计信息资料、完整、准确</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0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资产管理规范性</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资产管理制度健全，执行规范</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资产管理制度健全，但未对固定资产盘点结果进行总结分析，出具分析报告，制定整改措施</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绩效管理情况</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对绩效信息进行汇总分析整理；对绩效目标偏离情况及时进行矫正。</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对绩效信息进行汇总分析整理；对绩效目标偏离情况进行矫正。</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　</w:t>
            </w:r>
          </w:p>
        </w:tc>
        <w:tc>
          <w:tcPr>
            <w:tcW w:w="4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结转结余率（4）</w:t>
            </w:r>
          </w:p>
        </w:tc>
        <w:tc>
          <w:tcPr>
            <w:tcW w:w="42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5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9"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4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9" w:hRule="atLeast"/>
        </w:trPr>
        <w:tc>
          <w:tcPr>
            <w:tcW w:w="1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部门预决算差异率（4）</w:t>
            </w:r>
          </w:p>
        </w:tc>
        <w:tc>
          <w:tcPr>
            <w:tcW w:w="4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26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8</w:t>
            </w:r>
            <w:r>
              <w:rPr>
                <w:rFonts w:hint="eastAsia" w:ascii="宋体" w:hAnsi="宋体" w:cs="宋体"/>
                <w:b/>
                <w:bCs/>
                <w:i w:val="0"/>
                <w:iCs w:val="0"/>
                <w:color w:val="000000"/>
                <w:kern w:val="0"/>
                <w:sz w:val="20"/>
                <w:szCs w:val="20"/>
                <w:u w:val="none"/>
                <w:lang w:val="en-US" w:eastAsia="zh-CN" w:bidi="ar"/>
              </w:rPr>
              <w:t>8.11</w:t>
            </w:r>
          </w:p>
        </w:tc>
      </w:tr>
    </w:tbl>
    <w:p>
      <w:pPr>
        <w:keepNext w:val="0"/>
        <w:keepLines w:val="0"/>
        <w:pageBreakBefore w:val="0"/>
        <w:widowControl w:val="0"/>
        <w:kinsoku/>
        <w:wordWrap/>
        <w:overflowPunct/>
        <w:topLinePunct w:val="0"/>
        <w:autoSpaceDE/>
        <w:autoSpaceDN/>
        <w:bidi w:val="0"/>
        <w:adjustRightInd/>
        <w:snapToGrid/>
        <w:spacing w:line="160" w:lineRule="exact"/>
        <w:textAlignment w:val="auto"/>
        <w:rPr>
          <w:color w:val="auto"/>
          <w:sz w:val="13"/>
          <w:szCs w:val="16"/>
        </w:rPr>
      </w:pPr>
    </w:p>
    <w:p>
      <w:pPr>
        <w:keepNext w:val="0"/>
        <w:keepLines w:val="0"/>
        <w:pageBreakBefore w:val="0"/>
        <w:widowControl w:val="0"/>
        <w:kinsoku/>
        <w:wordWrap/>
        <w:overflowPunct/>
        <w:topLinePunct w:val="0"/>
        <w:autoSpaceDE/>
        <w:autoSpaceDN/>
        <w:bidi w:val="0"/>
        <w:adjustRightInd/>
        <w:snapToGrid/>
        <w:spacing w:line="160" w:lineRule="exact"/>
        <w:textAlignment w:val="auto"/>
        <w:rPr>
          <w:color w:val="auto"/>
          <w:sz w:val="13"/>
          <w:szCs w:val="16"/>
        </w:rPr>
      </w:pPr>
    </w:p>
    <w:sectPr>
      <w:footerReference r:id="rId11" w:type="default"/>
      <w:pgSz w:w="16838" w:h="11906" w:orient="landscape"/>
      <w:pgMar w:top="1803" w:right="1440" w:bottom="1803" w:left="144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A00002EF" w:usb1="4000004B"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inorEastAsia" w:hAnsiTheme="minorEastAsia" w:eastAsia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01291595"/>
                          </w:sdtPr>
                          <w:sdtEndPr>
                            <w:rPr>
                              <w:rFonts w:asciiTheme="minorEastAsia" w:hAnsiTheme="minorEastAsia" w:eastAsiaTheme="minorEastAsia"/>
                              <w:sz w:val="24"/>
                              <w:szCs w:val="24"/>
                            </w:rPr>
                          </w:sdtEndPr>
                          <w:sdtContent>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sdt>
                    <w:sdtPr>
                      <w:id w:val="2101291595"/>
                    </w:sdtPr>
                    <w:sdtEndPr>
                      <w:rPr>
                        <w:rFonts w:asciiTheme="minorEastAsia" w:hAnsiTheme="minorEastAsia" w:eastAsiaTheme="minorEastAsia"/>
                        <w:sz w:val="24"/>
                        <w:szCs w:val="24"/>
                      </w:rPr>
                    </w:sdtEndPr>
                    <w:sdtContent>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7"/>
                    </w:pP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inorEastAsia" w:hAnsiTheme="minorEastAsia" w:eastAsiaTheme="minorEastAsia"/>
        <w:sz w:val="24"/>
        <w:szCs w:val="24"/>
      </w:rPr>
    </w:pP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inorEastAsia" w:hAnsiTheme="minorEastAsia" w:eastAsia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ascii="Times New Roman" w:hAnsi="Times New Roman" w:eastAsia="宋体" w:cs="Times New Roman"/>
                              <w:kern w:val="2"/>
                              <w:sz w:val="21"/>
                              <w:szCs w:val="24"/>
                              <w:lang w:val="en-US" w:eastAsia="zh-CN" w:bidi="ar-SA"/>
                            </w:rPr>
                            <w:id w:val="147476928"/>
                          </w:sdtPr>
                          <w:sdtEndPr>
                            <w:rPr>
                              <w:rFonts w:cs="Times New Roman" w:asciiTheme="minorEastAsia" w:hAnsiTheme="minorEastAsia" w:eastAsiaTheme="minorEastAsia"/>
                              <w:kern w:val="2"/>
                              <w:sz w:val="24"/>
                              <w:szCs w:val="24"/>
                              <w:lang w:val="en-US" w:eastAsia="zh-CN" w:bidi="ar-SA"/>
                            </w:rPr>
                          </w:sdtEndPr>
                          <w:sdtContent>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szCs w:val="24"/>
                        <w:lang w:val="en-US" w:eastAsia="zh-CN" w:bidi="ar-SA"/>
                      </w:rPr>
                      <w:id w:val="147476928"/>
                    </w:sdtPr>
                    <w:sdtEndPr>
                      <w:rPr>
                        <w:rFonts w:cs="Times New Roman" w:asciiTheme="minorEastAsia" w:hAnsiTheme="minorEastAsia" w:eastAsiaTheme="minorEastAsia"/>
                        <w:kern w:val="2"/>
                        <w:sz w:val="24"/>
                        <w:szCs w:val="24"/>
                        <w:lang w:val="en-US" w:eastAsia="zh-CN" w:bidi="ar-SA"/>
                      </w:rPr>
                    </w:sdtEndPr>
                    <w:sdtContent>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7"/>
                    </w:pPr>
                  </w:p>
                </w:txbxContent>
              </v:textbox>
            </v:shape>
          </w:pict>
        </mc:Fallback>
      </mc:AlternateConten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ascii="Times New Roman" w:hAnsi="Times New Roman" w:eastAsia="宋体" w:cs="Times New Roman"/>
                              <w:kern w:val="2"/>
                              <w:sz w:val="21"/>
                              <w:szCs w:val="24"/>
                              <w:lang w:val="en-US" w:eastAsia="zh-CN" w:bidi="ar-SA"/>
                            </w:rPr>
                            <w:id w:val="147463090"/>
                          </w:sdtPr>
                          <w:sdtEndPr>
                            <w:rPr>
                              <w:rFonts w:ascii="Times New Roman" w:hAnsi="Times New Roman" w:eastAsia="宋体" w:cs="Times New Roman"/>
                              <w:kern w:val="2"/>
                              <w:sz w:val="21"/>
                              <w:szCs w:val="24"/>
                              <w:lang w:val="en-US" w:eastAsia="zh-CN" w:bidi="ar-SA"/>
                            </w:rPr>
                          </w:sdtEndPr>
                          <w:sdtContent>
                            <w:p>
                              <w:pPr>
                                <w:pStyle w:val="12"/>
                                <w:jc w:val="center"/>
                              </w:pPr>
                              <w:r>
                                <w:rPr>
                                  <w:rFonts w:hint="eastAsia" w:ascii="宋体" w:hAnsi="宋体" w:cs="宋体"/>
                                  <w:sz w:val="20"/>
                                  <w:szCs w:val="21"/>
                                </w:rPr>
                                <w:fldChar w:fldCharType="begin"/>
                              </w:r>
                              <w:r>
                                <w:rPr>
                                  <w:rFonts w:hint="eastAsia" w:ascii="宋体" w:hAnsi="宋体" w:cs="宋体"/>
                                  <w:sz w:val="20"/>
                                  <w:szCs w:val="21"/>
                                </w:rPr>
                                <w:instrText xml:space="preserve">PAGE   \* MERGEFORMAT</w:instrText>
                              </w:r>
                              <w:r>
                                <w:rPr>
                                  <w:rFonts w:hint="eastAsia" w:ascii="宋体" w:hAnsi="宋体" w:cs="宋体"/>
                                  <w:sz w:val="20"/>
                                  <w:szCs w:val="21"/>
                                </w:rPr>
                                <w:fldChar w:fldCharType="separate"/>
                              </w:r>
                              <w:r>
                                <w:rPr>
                                  <w:rFonts w:ascii="宋体" w:hAnsi="宋体" w:cs="宋体"/>
                                  <w:sz w:val="20"/>
                                  <w:szCs w:val="21"/>
                                  <w:lang w:val="zh-CN"/>
                                </w:rPr>
                                <w:t>1</w:t>
                              </w:r>
                              <w:r>
                                <w:rPr>
                                  <w:rFonts w:hint="eastAsia" w:ascii="宋体" w:hAnsi="宋体" w:cs="宋体"/>
                                  <w:sz w:val="20"/>
                                  <w:szCs w:val="21"/>
                                </w:rPr>
                                <w:fldChar w:fldCharType="end"/>
                              </w:r>
                            </w:p>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0MN4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Sf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A0MN4bAgAAIQQAAA4A&#10;AAAAAAAAAQAgAAAAHwEAAGRycy9lMm9Eb2MueG1sUEsFBgAAAAAGAAYAWQEAAKwFA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szCs w:val="24"/>
                        <w:lang w:val="en-US" w:eastAsia="zh-CN" w:bidi="ar-SA"/>
                      </w:rPr>
                      <w:id w:val="147463090"/>
                    </w:sdtPr>
                    <w:sdtEndPr>
                      <w:rPr>
                        <w:rFonts w:ascii="Times New Roman" w:hAnsi="Times New Roman" w:eastAsia="宋体" w:cs="Times New Roman"/>
                        <w:kern w:val="2"/>
                        <w:sz w:val="21"/>
                        <w:szCs w:val="24"/>
                        <w:lang w:val="en-US" w:eastAsia="zh-CN" w:bidi="ar-SA"/>
                      </w:rPr>
                    </w:sdtEndPr>
                    <w:sdtContent>
                      <w:p>
                        <w:pPr>
                          <w:pStyle w:val="12"/>
                          <w:jc w:val="center"/>
                        </w:pPr>
                        <w:r>
                          <w:rPr>
                            <w:rFonts w:hint="eastAsia" w:ascii="宋体" w:hAnsi="宋体" w:cs="宋体"/>
                            <w:sz w:val="20"/>
                            <w:szCs w:val="21"/>
                          </w:rPr>
                          <w:fldChar w:fldCharType="begin"/>
                        </w:r>
                        <w:r>
                          <w:rPr>
                            <w:rFonts w:hint="eastAsia" w:ascii="宋体" w:hAnsi="宋体" w:cs="宋体"/>
                            <w:sz w:val="20"/>
                            <w:szCs w:val="21"/>
                          </w:rPr>
                          <w:instrText xml:space="preserve">PAGE   \* MERGEFORMAT</w:instrText>
                        </w:r>
                        <w:r>
                          <w:rPr>
                            <w:rFonts w:hint="eastAsia" w:ascii="宋体" w:hAnsi="宋体" w:cs="宋体"/>
                            <w:sz w:val="20"/>
                            <w:szCs w:val="21"/>
                          </w:rPr>
                          <w:fldChar w:fldCharType="separate"/>
                        </w:r>
                        <w:r>
                          <w:rPr>
                            <w:rFonts w:ascii="宋体" w:hAnsi="宋体" w:cs="宋体"/>
                            <w:sz w:val="20"/>
                            <w:szCs w:val="21"/>
                            <w:lang w:val="zh-CN"/>
                          </w:rPr>
                          <w:t>1</w:t>
                        </w:r>
                        <w:r>
                          <w:rPr>
                            <w:rFonts w:hint="eastAsia" w:ascii="宋体" w:hAnsi="宋体" w:cs="宋体"/>
                            <w:sz w:val="20"/>
                            <w:szCs w:val="21"/>
                          </w:rPr>
                          <w:fldChar w:fldCharType="end"/>
                        </w:r>
                      </w:p>
                    </w:sdtContent>
                  </w:sdt>
                  <w:p>
                    <w:pPr>
                      <w:pStyle w:val="17"/>
                    </w:pPr>
                  </w:p>
                </w:txbxContent>
              </v:textbox>
            </v:shape>
          </w:pict>
        </mc:Fallback>
      </mc:AlternateConten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inorEastAsia" w:hAnsiTheme="minorEastAsia" w:eastAsia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7476183"/>
                          </w:sdtPr>
                          <w:sdtEndPr>
                            <w:rPr>
                              <w:rFonts w:asciiTheme="minorEastAsia" w:hAnsiTheme="minorEastAsia" w:eastAsiaTheme="minorEastAsia"/>
                              <w:sz w:val="24"/>
                              <w:szCs w:val="24"/>
                            </w:rPr>
                          </w:sdtEndPr>
                          <w:sdtContent>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sdt>
                    <w:sdtPr>
                      <w:id w:val="147476183"/>
                    </w:sdtPr>
                    <w:sdtEndPr>
                      <w:rPr>
                        <w:rFonts w:asciiTheme="minorEastAsia" w:hAnsiTheme="minorEastAsia" w:eastAsiaTheme="minorEastAsia"/>
                        <w:sz w:val="24"/>
                        <w:szCs w:val="24"/>
                      </w:rPr>
                    </w:sdtEndPr>
                    <w:sdtContent>
                      <w:p>
                        <w:pPr>
                          <w:pStyle w:val="12"/>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9</w:t>
                        </w:r>
                        <w:r>
                          <w:rPr>
                            <w:rFonts w:asciiTheme="minorEastAsia" w:hAnsiTheme="minorEastAsia" w:eastAsiaTheme="minorEastAsia"/>
                            <w:sz w:val="24"/>
                            <w:szCs w:val="24"/>
                          </w:rPr>
                          <w:fldChar w:fldCharType="end"/>
                        </w:r>
                      </w:p>
                    </w:sdtContent>
                  </w:sdt>
                  <w:p>
                    <w:pPr>
                      <w:pStyle w:val="17"/>
                    </w:pP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jU4YjFmZTI4MGY4M2ZlMTZjNmRjOGFkZjM4NzMifQ=="/>
  </w:docVars>
  <w:rsids>
    <w:rsidRoot w:val="00E67491"/>
    <w:rsid w:val="00042E66"/>
    <w:rsid w:val="00071E9F"/>
    <w:rsid w:val="000E0F45"/>
    <w:rsid w:val="00135135"/>
    <w:rsid w:val="0014556A"/>
    <w:rsid w:val="00192F65"/>
    <w:rsid w:val="001A4F60"/>
    <w:rsid w:val="002235CA"/>
    <w:rsid w:val="002E4454"/>
    <w:rsid w:val="0032355A"/>
    <w:rsid w:val="003628A8"/>
    <w:rsid w:val="003A629A"/>
    <w:rsid w:val="00413008"/>
    <w:rsid w:val="004A100C"/>
    <w:rsid w:val="004D373D"/>
    <w:rsid w:val="004D6360"/>
    <w:rsid w:val="00523159"/>
    <w:rsid w:val="00581191"/>
    <w:rsid w:val="00634CB1"/>
    <w:rsid w:val="006A118A"/>
    <w:rsid w:val="006B4F71"/>
    <w:rsid w:val="006D481A"/>
    <w:rsid w:val="007E1D79"/>
    <w:rsid w:val="00803078"/>
    <w:rsid w:val="00844285"/>
    <w:rsid w:val="00952D67"/>
    <w:rsid w:val="00980455"/>
    <w:rsid w:val="00A10BA9"/>
    <w:rsid w:val="00A41BC3"/>
    <w:rsid w:val="00B8627E"/>
    <w:rsid w:val="00BF7DD1"/>
    <w:rsid w:val="00C30776"/>
    <w:rsid w:val="00C33D78"/>
    <w:rsid w:val="00C71B49"/>
    <w:rsid w:val="00CE7385"/>
    <w:rsid w:val="00CF4099"/>
    <w:rsid w:val="00E67491"/>
    <w:rsid w:val="00F90887"/>
    <w:rsid w:val="00F91DEB"/>
    <w:rsid w:val="013F77F9"/>
    <w:rsid w:val="01965BBF"/>
    <w:rsid w:val="01C42B8B"/>
    <w:rsid w:val="01DF5C17"/>
    <w:rsid w:val="01DF7E2A"/>
    <w:rsid w:val="02047275"/>
    <w:rsid w:val="02160F0D"/>
    <w:rsid w:val="026F1EC6"/>
    <w:rsid w:val="02913D46"/>
    <w:rsid w:val="0297204E"/>
    <w:rsid w:val="02D2752A"/>
    <w:rsid w:val="02D952A3"/>
    <w:rsid w:val="02E94C52"/>
    <w:rsid w:val="03265180"/>
    <w:rsid w:val="03667C72"/>
    <w:rsid w:val="037E22D8"/>
    <w:rsid w:val="03921C4B"/>
    <w:rsid w:val="03942A31"/>
    <w:rsid w:val="03962305"/>
    <w:rsid w:val="03AD5FE3"/>
    <w:rsid w:val="03B14776"/>
    <w:rsid w:val="03BA784E"/>
    <w:rsid w:val="03C362C1"/>
    <w:rsid w:val="03CA6453"/>
    <w:rsid w:val="03DB41BC"/>
    <w:rsid w:val="041D10F3"/>
    <w:rsid w:val="0452355B"/>
    <w:rsid w:val="047C5D5A"/>
    <w:rsid w:val="048F66B0"/>
    <w:rsid w:val="04901D22"/>
    <w:rsid w:val="049802FF"/>
    <w:rsid w:val="049F343C"/>
    <w:rsid w:val="04A863DD"/>
    <w:rsid w:val="04BD38C2"/>
    <w:rsid w:val="04CA439E"/>
    <w:rsid w:val="04D01847"/>
    <w:rsid w:val="04F76DD4"/>
    <w:rsid w:val="0549616D"/>
    <w:rsid w:val="056A6906"/>
    <w:rsid w:val="05731B28"/>
    <w:rsid w:val="057E7A15"/>
    <w:rsid w:val="05AD077C"/>
    <w:rsid w:val="05ED6429"/>
    <w:rsid w:val="05F81055"/>
    <w:rsid w:val="05FA1766"/>
    <w:rsid w:val="05FA5406"/>
    <w:rsid w:val="060A6FDB"/>
    <w:rsid w:val="064535D2"/>
    <w:rsid w:val="066F5090"/>
    <w:rsid w:val="0671705A"/>
    <w:rsid w:val="0687687D"/>
    <w:rsid w:val="068C5825"/>
    <w:rsid w:val="068F1393"/>
    <w:rsid w:val="06A72A7B"/>
    <w:rsid w:val="06B1238C"/>
    <w:rsid w:val="06F757B1"/>
    <w:rsid w:val="06F9C141"/>
    <w:rsid w:val="07066B51"/>
    <w:rsid w:val="07414C7E"/>
    <w:rsid w:val="07AA637F"/>
    <w:rsid w:val="07BC6E53"/>
    <w:rsid w:val="07CC43A6"/>
    <w:rsid w:val="07D653C6"/>
    <w:rsid w:val="07DF5755"/>
    <w:rsid w:val="07F57D52"/>
    <w:rsid w:val="08051BCA"/>
    <w:rsid w:val="08163028"/>
    <w:rsid w:val="0817314E"/>
    <w:rsid w:val="08433820"/>
    <w:rsid w:val="08670714"/>
    <w:rsid w:val="08764FF9"/>
    <w:rsid w:val="08822D20"/>
    <w:rsid w:val="0889068B"/>
    <w:rsid w:val="089C0682"/>
    <w:rsid w:val="08DB07BA"/>
    <w:rsid w:val="08DD4532"/>
    <w:rsid w:val="08EC575D"/>
    <w:rsid w:val="092E2FE0"/>
    <w:rsid w:val="093305F6"/>
    <w:rsid w:val="09874E27"/>
    <w:rsid w:val="098E0E75"/>
    <w:rsid w:val="09A32350"/>
    <w:rsid w:val="09B80B68"/>
    <w:rsid w:val="09D15564"/>
    <w:rsid w:val="09EC66EE"/>
    <w:rsid w:val="09FD72C4"/>
    <w:rsid w:val="0A1747BB"/>
    <w:rsid w:val="0A3D472E"/>
    <w:rsid w:val="0A51342A"/>
    <w:rsid w:val="0A5941E2"/>
    <w:rsid w:val="0A690774"/>
    <w:rsid w:val="0A73514E"/>
    <w:rsid w:val="0A8174DB"/>
    <w:rsid w:val="0A9351E7"/>
    <w:rsid w:val="0AAA48E8"/>
    <w:rsid w:val="0AE54168"/>
    <w:rsid w:val="0AF85654"/>
    <w:rsid w:val="0B0B7CAC"/>
    <w:rsid w:val="0B233C9F"/>
    <w:rsid w:val="0B420FC5"/>
    <w:rsid w:val="0B7A2494"/>
    <w:rsid w:val="0B835865"/>
    <w:rsid w:val="0B963F90"/>
    <w:rsid w:val="0BBD11B7"/>
    <w:rsid w:val="0BC4399D"/>
    <w:rsid w:val="0BE9003F"/>
    <w:rsid w:val="0BF16C73"/>
    <w:rsid w:val="0C004D68"/>
    <w:rsid w:val="0C063DA0"/>
    <w:rsid w:val="0C28640C"/>
    <w:rsid w:val="0C3E79DE"/>
    <w:rsid w:val="0C401987"/>
    <w:rsid w:val="0C57284E"/>
    <w:rsid w:val="0C7927C4"/>
    <w:rsid w:val="0C7D22B4"/>
    <w:rsid w:val="0C9576A3"/>
    <w:rsid w:val="0C991804"/>
    <w:rsid w:val="0CB9190B"/>
    <w:rsid w:val="0CBA4CF4"/>
    <w:rsid w:val="0CBD6919"/>
    <w:rsid w:val="0CCB5A77"/>
    <w:rsid w:val="0CCB60CE"/>
    <w:rsid w:val="0CCD48BE"/>
    <w:rsid w:val="0CF307C8"/>
    <w:rsid w:val="0D197B03"/>
    <w:rsid w:val="0D2B010C"/>
    <w:rsid w:val="0D674F46"/>
    <w:rsid w:val="0D6E759D"/>
    <w:rsid w:val="0D7C478D"/>
    <w:rsid w:val="0D7F4A55"/>
    <w:rsid w:val="0D935B07"/>
    <w:rsid w:val="0D9B5528"/>
    <w:rsid w:val="0DA47D15"/>
    <w:rsid w:val="0DB029F1"/>
    <w:rsid w:val="0DB37F58"/>
    <w:rsid w:val="0DC932D7"/>
    <w:rsid w:val="0DE545B5"/>
    <w:rsid w:val="0DFB3FA0"/>
    <w:rsid w:val="0E124C7E"/>
    <w:rsid w:val="0E383BC3"/>
    <w:rsid w:val="0E6179B4"/>
    <w:rsid w:val="0E6B25E0"/>
    <w:rsid w:val="0E701638"/>
    <w:rsid w:val="0E8D0520"/>
    <w:rsid w:val="0E9246B3"/>
    <w:rsid w:val="0EC57F6B"/>
    <w:rsid w:val="0ED45019"/>
    <w:rsid w:val="0EF05C1E"/>
    <w:rsid w:val="0EF6412A"/>
    <w:rsid w:val="0F1D38DB"/>
    <w:rsid w:val="0F3A3614"/>
    <w:rsid w:val="0F4678BA"/>
    <w:rsid w:val="0F6249E3"/>
    <w:rsid w:val="0F784FB5"/>
    <w:rsid w:val="0F9C3F68"/>
    <w:rsid w:val="0FBF2BE4"/>
    <w:rsid w:val="0FC44BCF"/>
    <w:rsid w:val="0FD22917"/>
    <w:rsid w:val="0FD61CDB"/>
    <w:rsid w:val="1004760A"/>
    <w:rsid w:val="10163B8C"/>
    <w:rsid w:val="105477D0"/>
    <w:rsid w:val="106324FE"/>
    <w:rsid w:val="107B2A34"/>
    <w:rsid w:val="107F4121"/>
    <w:rsid w:val="10A122E9"/>
    <w:rsid w:val="10AC0EB3"/>
    <w:rsid w:val="10AC3BD6"/>
    <w:rsid w:val="10B2272B"/>
    <w:rsid w:val="11357601"/>
    <w:rsid w:val="11496C09"/>
    <w:rsid w:val="11684E27"/>
    <w:rsid w:val="118934A9"/>
    <w:rsid w:val="118F65E6"/>
    <w:rsid w:val="11D22796"/>
    <w:rsid w:val="11FA7885"/>
    <w:rsid w:val="1206210D"/>
    <w:rsid w:val="121A2353"/>
    <w:rsid w:val="121D48EB"/>
    <w:rsid w:val="122B27B2"/>
    <w:rsid w:val="122E5DFF"/>
    <w:rsid w:val="123947E6"/>
    <w:rsid w:val="12490E8B"/>
    <w:rsid w:val="12E83BD7"/>
    <w:rsid w:val="13402F21"/>
    <w:rsid w:val="134A48DD"/>
    <w:rsid w:val="13821C80"/>
    <w:rsid w:val="13A75E69"/>
    <w:rsid w:val="13B97F56"/>
    <w:rsid w:val="13C133CE"/>
    <w:rsid w:val="13D6674E"/>
    <w:rsid w:val="13DA04A2"/>
    <w:rsid w:val="14131750"/>
    <w:rsid w:val="143017A1"/>
    <w:rsid w:val="14634486"/>
    <w:rsid w:val="146354B5"/>
    <w:rsid w:val="14942891"/>
    <w:rsid w:val="14975EDD"/>
    <w:rsid w:val="14A35227"/>
    <w:rsid w:val="14C41C81"/>
    <w:rsid w:val="14F128E5"/>
    <w:rsid w:val="14F41582"/>
    <w:rsid w:val="15062D68"/>
    <w:rsid w:val="15067947"/>
    <w:rsid w:val="15233B2D"/>
    <w:rsid w:val="152A6AD5"/>
    <w:rsid w:val="153D7497"/>
    <w:rsid w:val="154442A0"/>
    <w:rsid w:val="15447178"/>
    <w:rsid w:val="155701A1"/>
    <w:rsid w:val="1568628E"/>
    <w:rsid w:val="156D0F2C"/>
    <w:rsid w:val="157D3325"/>
    <w:rsid w:val="159954CF"/>
    <w:rsid w:val="15B30F0D"/>
    <w:rsid w:val="15CE3245"/>
    <w:rsid w:val="15D62F4D"/>
    <w:rsid w:val="15E83F8E"/>
    <w:rsid w:val="15F15127"/>
    <w:rsid w:val="16005D04"/>
    <w:rsid w:val="161D1B33"/>
    <w:rsid w:val="16336A16"/>
    <w:rsid w:val="16386A6E"/>
    <w:rsid w:val="1643701D"/>
    <w:rsid w:val="16481D3C"/>
    <w:rsid w:val="16691AFB"/>
    <w:rsid w:val="167A743A"/>
    <w:rsid w:val="16922E00"/>
    <w:rsid w:val="16B953D3"/>
    <w:rsid w:val="16D925C0"/>
    <w:rsid w:val="16F4008E"/>
    <w:rsid w:val="17022978"/>
    <w:rsid w:val="17137D16"/>
    <w:rsid w:val="173A528E"/>
    <w:rsid w:val="173E6AE4"/>
    <w:rsid w:val="1743129B"/>
    <w:rsid w:val="174B090E"/>
    <w:rsid w:val="176221FA"/>
    <w:rsid w:val="17872A04"/>
    <w:rsid w:val="17B13509"/>
    <w:rsid w:val="17FA309C"/>
    <w:rsid w:val="180513B0"/>
    <w:rsid w:val="183B7322"/>
    <w:rsid w:val="185B1232"/>
    <w:rsid w:val="1862744F"/>
    <w:rsid w:val="187A7FF0"/>
    <w:rsid w:val="18866995"/>
    <w:rsid w:val="18934C0E"/>
    <w:rsid w:val="18C272A1"/>
    <w:rsid w:val="18FA2AC3"/>
    <w:rsid w:val="1918427E"/>
    <w:rsid w:val="192434B9"/>
    <w:rsid w:val="194747A1"/>
    <w:rsid w:val="19510D51"/>
    <w:rsid w:val="19614D0C"/>
    <w:rsid w:val="19A27736"/>
    <w:rsid w:val="19CF25BD"/>
    <w:rsid w:val="19D07AE3"/>
    <w:rsid w:val="1A0A0EFF"/>
    <w:rsid w:val="1A1566D8"/>
    <w:rsid w:val="1A3650F2"/>
    <w:rsid w:val="1A494ADF"/>
    <w:rsid w:val="1A8B62C4"/>
    <w:rsid w:val="1ACA40E9"/>
    <w:rsid w:val="1AD92647"/>
    <w:rsid w:val="1AFB21E2"/>
    <w:rsid w:val="1B0B262F"/>
    <w:rsid w:val="1B1F4E7E"/>
    <w:rsid w:val="1B244243"/>
    <w:rsid w:val="1B26620D"/>
    <w:rsid w:val="1B410951"/>
    <w:rsid w:val="1B471A49"/>
    <w:rsid w:val="1B593EDC"/>
    <w:rsid w:val="1B593EEC"/>
    <w:rsid w:val="1B720792"/>
    <w:rsid w:val="1B782687"/>
    <w:rsid w:val="1B866D18"/>
    <w:rsid w:val="1B9B4663"/>
    <w:rsid w:val="1BA62EAA"/>
    <w:rsid w:val="1BAF4334"/>
    <w:rsid w:val="1BC3591D"/>
    <w:rsid w:val="1BE05CF3"/>
    <w:rsid w:val="1BE614F8"/>
    <w:rsid w:val="1C322695"/>
    <w:rsid w:val="1C425FB4"/>
    <w:rsid w:val="1C5D1936"/>
    <w:rsid w:val="1C625409"/>
    <w:rsid w:val="1C752FA8"/>
    <w:rsid w:val="1CA4388D"/>
    <w:rsid w:val="1CC2071A"/>
    <w:rsid w:val="1CEB14BC"/>
    <w:rsid w:val="1CFC7225"/>
    <w:rsid w:val="1D164E0B"/>
    <w:rsid w:val="1D1E2891"/>
    <w:rsid w:val="1D246914"/>
    <w:rsid w:val="1D476374"/>
    <w:rsid w:val="1D477CBD"/>
    <w:rsid w:val="1D4E1A06"/>
    <w:rsid w:val="1D671CC9"/>
    <w:rsid w:val="1D7019C1"/>
    <w:rsid w:val="1D9001B4"/>
    <w:rsid w:val="1DA6229F"/>
    <w:rsid w:val="1DAC2CBE"/>
    <w:rsid w:val="1DD2442A"/>
    <w:rsid w:val="1E430E84"/>
    <w:rsid w:val="1E7F6448"/>
    <w:rsid w:val="1E8000F1"/>
    <w:rsid w:val="1ED41ADC"/>
    <w:rsid w:val="1EF30553"/>
    <w:rsid w:val="1F4B4494"/>
    <w:rsid w:val="1F7C2503"/>
    <w:rsid w:val="1F9A6275"/>
    <w:rsid w:val="1F9C084C"/>
    <w:rsid w:val="1FA0658E"/>
    <w:rsid w:val="1FF91C64"/>
    <w:rsid w:val="20014C4D"/>
    <w:rsid w:val="20303E66"/>
    <w:rsid w:val="2059663D"/>
    <w:rsid w:val="20631369"/>
    <w:rsid w:val="20672C08"/>
    <w:rsid w:val="206D3F96"/>
    <w:rsid w:val="20B047BF"/>
    <w:rsid w:val="20B47B63"/>
    <w:rsid w:val="20B90CD6"/>
    <w:rsid w:val="20C218A0"/>
    <w:rsid w:val="20CC01D5"/>
    <w:rsid w:val="20E56222"/>
    <w:rsid w:val="20F62BFB"/>
    <w:rsid w:val="21400970"/>
    <w:rsid w:val="21891AB9"/>
    <w:rsid w:val="218B53BC"/>
    <w:rsid w:val="21AD6101"/>
    <w:rsid w:val="21CA5B44"/>
    <w:rsid w:val="21F66939"/>
    <w:rsid w:val="220B6EBF"/>
    <w:rsid w:val="22172BBE"/>
    <w:rsid w:val="223F7EDE"/>
    <w:rsid w:val="22443533"/>
    <w:rsid w:val="22627A44"/>
    <w:rsid w:val="226B344A"/>
    <w:rsid w:val="22880269"/>
    <w:rsid w:val="22967B9D"/>
    <w:rsid w:val="22A04AF7"/>
    <w:rsid w:val="22C32593"/>
    <w:rsid w:val="23387085"/>
    <w:rsid w:val="235D02F2"/>
    <w:rsid w:val="235F6973"/>
    <w:rsid w:val="23681054"/>
    <w:rsid w:val="236C1CFE"/>
    <w:rsid w:val="2372556B"/>
    <w:rsid w:val="23774E19"/>
    <w:rsid w:val="23A26911"/>
    <w:rsid w:val="23DD4AC6"/>
    <w:rsid w:val="23FF13A9"/>
    <w:rsid w:val="241C63FF"/>
    <w:rsid w:val="243C43AB"/>
    <w:rsid w:val="24521E21"/>
    <w:rsid w:val="245F611A"/>
    <w:rsid w:val="246D0A09"/>
    <w:rsid w:val="247B4ED4"/>
    <w:rsid w:val="247F0210"/>
    <w:rsid w:val="24877D1C"/>
    <w:rsid w:val="248A1B27"/>
    <w:rsid w:val="24973CD7"/>
    <w:rsid w:val="24B76319"/>
    <w:rsid w:val="24C70119"/>
    <w:rsid w:val="24D41EA1"/>
    <w:rsid w:val="24F353B2"/>
    <w:rsid w:val="24F627AC"/>
    <w:rsid w:val="252217F3"/>
    <w:rsid w:val="25257535"/>
    <w:rsid w:val="253D487F"/>
    <w:rsid w:val="25733DFD"/>
    <w:rsid w:val="259408C4"/>
    <w:rsid w:val="259D71B4"/>
    <w:rsid w:val="25BA7ED1"/>
    <w:rsid w:val="25CA4E34"/>
    <w:rsid w:val="25CB2929"/>
    <w:rsid w:val="25CE54D7"/>
    <w:rsid w:val="25D8389B"/>
    <w:rsid w:val="25DA0320"/>
    <w:rsid w:val="25E46102"/>
    <w:rsid w:val="25EB7E37"/>
    <w:rsid w:val="26291992"/>
    <w:rsid w:val="26670E32"/>
    <w:rsid w:val="26681488"/>
    <w:rsid w:val="26695200"/>
    <w:rsid w:val="268169ED"/>
    <w:rsid w:val="26934B38"/>
    <w:rsid w:val="26BD1B76"/>
    <w:rsid w:val="26C7110B"/>
    <w:rsid w:val="26EE07F0"/>
    <w:rsid w:val="26F05619"/>
    <w:rsid w:val="2702263A"/>
    <w:rsid w:val="27124612"/>
    <w:rsid w:val="27181100"/>
    <w:rsid w:val="2771703E"/>
    <w:rsid w:val="278E02EB"/>
    <w:rsid w:val="27982240"/>
    <w:rsid w:val="27AF0763"/>
    <w:rsid w:val="27BF157B"/>
    <w:rsid w:val="27C60B5C"/>
    <w:rsid w:val="27CB6172"/>
    <w:rsid w:val="287A36F4"/>
    <w:rsid w:val="287E18C5"/>
    <w:rsid w:val="28834672"/>
    <w:rsid w:val="288E455E"/>
    <w:rsid w:val="28DE2E8F"/>
    <w:rsid w:val="28E9656F"/>
    <w:rsid w:val="293D6BFB"/>
    <w:rsid w:val="29483261"/>
    <w:rsid w:val="295201CD"/>
    <w:rsid w:val="29603C71"/>
    <w:rsid w:val="297F5466"/>
    <w:rsid w:val="29826D16"/>
    <w:rsid w:val="299C4653"/>
    <w:rsid w:val="29A22F02"/>
    <w:rsid w:val="29A37357"/>
    <w:rsid w:val="29CC55E9"/>
    <w:rsid w:val="29CE03E2"/>
    <w:rsid w:val="29D15596"/>
    <w:rsid w:val="29DA08EE"/>
    <w:rsid w:val="29FA4AED"/>
    <w:rsid w:val="2A4350CD"/>
    <w:rsid w:val="2A8E59F6"/>
    <w:rsid w:val="2ABE7BD8"/>
    <w:rsid w:val="2ACC1B49"/>
    <w:rsid w:val="2B031C30"/>
    <w:rsid w:val="2B051650"/>
    <w:rsid w:val="2B0A5203"/>
    <w:rsid w:val="2B6B0121"/>
    <w:rsid w:val="2B6C1A1A"/>
    <w:rsid w:val="2BA25422"/>
    <w:rsid w:val="2BE36401"/>
    <w:rsid w:val="2BF0264B"/>
    <w:rsid w:val="2C0542CE"/>
    <w:rsid w:val="2C071743"/>
    <w:rsid w:val="2C0C1996"/>
    <w:rsid w:val="2C1D328F"/>
    <w:rsid w:val="2C1D4AC2"/>
    <w:rsid w:val="2C33078A"/>
    <w:rsid w:val="2C354DC9"/>
    <w:rsid w:val="2C4B162F"/>
    <w:rsid w:val="2C4C35F9"/>
    <w:rsid w:val="2C51247D"/>
    <w:rsid w:val="2C5524AE"/>
    <w:rsid w:val="2C640943"/>
    <w:rsid w:val="2C6A5144"/>
    <w:rsid w:val="2C90798A"/>
    <w:rsid w:val="2C913452"/>
    <w:rsid w:val="2C951AFB"/>
    <w:rsid w:val="2CD575BD"/>
    <w:rsid w:val="2CDD57AD"/>
    <w:rsid w:val="2D047D5E"/>
    <w:rsid w:val="2D091EF3"/>
    <w:rsid w:val="2D2214FC"/>
    <w:rsid w:val="2D68588A"/>
    <w:rsid w:val="2DE328C8"/>
    <w:rsid w:val="2DEB0745"/>
    <w:rsid w:val="2DF342A1"/>
    <w:rsid w:val="2DFD4BAB"/>
    <w:rsid w:val="2E255EB0"/>
    <w:rsid w:val="2E5642BC"/>
    <w:rsid w:val="2E583CA6"/>
    <w:rsid w:val="2E5F7614"/>
    <w:rsid w:val="2E6946F8"/>
    <w:rsid w:val="2E7B0352"/>
    <w:rsid w:val="2EC73739"/>
    <w:rsid w:val="2ECA52A7"/>
    <w:rsid w:val="2EDA313F"/>
    <w:rsid w:val="2EE93382"/>
    <w:rsid w:val="2EF37D5C"/>
    <w:rsid w:val="2F1A178D"/>
    <w:rsid w:val="2FA958B8"/>
    <w:rsid w:val="2FAF5BAA"/>
    <w:rsid w:val="2FE51D9B"/>
    <w:rsid w:val="2FF0275E"/>
    <w:rsid w:val="2FF7387C"/>
    <w:rsid w:val="2FFE2E5D"/>
    <w:rsid w:val="2FFE4C0B"/>
    <w:rsid w:val="301306B6"/>
    <w:rsid w:val="3017022E"/>
    <w:rsid w:val="301937F3"/>
    <w:rsid w:val="302A3C52"/>
    <w:rsid w:val="304F5296"/>
    <w:rsid w:val="305D413A"/>
    <w:rsid w:val="307A6987"/>
    <w:rsid w:val="307F3F9D"/>
    <w:rsid w:val="30B71989"/>
    <w:rsid w:val="30E91F4F"/>
    <w:rsid w:val="31305298"/>
    <w:rsid w:val="31675FA6"/>
    <w:rsid w:val="3168566B"/>
    <w:rsid w:val="31DB5204"/>
    <w:rsid w:val="31F45FB1"/>
    <w:rsid w:val="32373CA7"/>
    <w:rsid w:val="323D7C6C"/>
    <w:rsid w:val="3255465D"/>
    <w:rsid w:val="329E48A2"/>
    <w:rsid w:val="32A108E2"/>
    <w:rsid w:val="32BB16A6"/>
    <w:rsid w:val="32BE537B"/>
    <w:rsid w:val="32CE636A"/>
    <w:rsid w:val="32EE540A"/>
    <w:rsid w:val="333E7B8B"/>
    <w:rsid w:val="333F5C66"/>
    <w:rsid w:val="33470FBC"/>
    <w:rsid w:val="3350574A"/>
    <w:rsid w:val="335E1684"/>
    <w:rsid w:val="33792F26"/>
    <w:rsid w:val="33820E0C"/>
    <w:rsid w:val="33997124"/>
    <w:rsid w:val="33AA73E1"/>
    <w:rsid w:val="33DC625B"/>
    <w:rsid w:val="3445105A"/>
    <w:rsid w:val="344C07F1"/>
    <w:rsid w:val="346702DF"/>
    <w:rsid w:val="34781430"/>
    <w:rsid w:val="34897199"/>
    <w:rsid w:val="34B01B96"/>
    <w:rsid w:val="34BA1A48"/>
    <w:rsid w:val="34CC52D7"/>
    <w:rsid w:val="34D36666"/>
    <w:rsid w:val="34F46984"/>
    <w:rsid w:val="352F4274"/>
    <w:rsid w:val="357144D1"/>
    <w:rsid w:val="357D65D2"/>
    <w:rsid w:val="35815578"/>
    <w:rsid w:val="35D501BC"/>
    <w:rsid w:val="35E27A6F"/>
    <w:rsid w:val="35F90612"/>
    <w:rsid w:val="35FC1BEC"/>
    <w:rsid w:val="36207E81"/>
    <w:rsid w:val="36254391"/>
    <w:rsid w:val="36280C33"/>
    <w:rsid w:val="36422268"/>
    <w:rsid w:val="3648318B"/>
    <w:rsid w:val="364A0BAA"/>
    <w:rsid w:val="3650658E"/>
    <w:rsid w:val="368045CB"/>
    <w:rsid w:val="369D6F2B"/>
    <w:rsid w:val="36A209E6"/>
    <w:rsid w:val="36A253EA"/>
    <w:rsid w:val="36C562CD"/>
    <w:rsid w:val="36D31483"/>
    <w:rsid w:val="36DA0180"/>
    <w:rsid w:val="36DD557A"/>
    <w:rsid w:val="36F154C9"/>
    <w:rsid w:val="36FBA52F"/>
    <w:rsid w:val="371C2460"/>
    <w:rsid w:val="375E2A17"/>
    <w:rsid w:val="377C70A0"/>
    <w:rsid w:val="378D51F2"/>
    <w:rsid w:val="37910439"/>
    <w:rsid w:val="37DB6273"/>
    <w:rsid w:val="37EF370B"/>
    <w:rsid w:val="3806408D"/>
    <w:rsid w:val="38084878"/>
    <w:rsid w:val="3814321D"/>
    <w:rsid w:val="382B49D5"/>
    <w:rsid w:val="382C5E5F"/>
    <w:rsid w:val="38305B7D"/>
    <w:rsid w:val="383B4F12"/>
    <w:rsid w:val="384214C6"/>
    <w:rsid w:val="387C7014"/>
    <w:rsid w:val="38897E6A"/>
    <w:rsid w:val="388F0AF6"/>
    <w:rsid w:val="389338B6"/>
    <w:rsid w:val="38B77CE5"/>
    <w:rsid w:val="38C31254"/>
    <w:rsid w:val="38F670C6"/>
    <w:rsid w:val="38F70F79"/>
    <w:rsid w:val="392456E2"/>
    <w:rsid w:val="392E6A4D"/>
    <w:rsid w:val="39590AF0"/>
    <w:rsid w:val="399E5DA7"/>
    <w:rsid w:val="39C14A68"/>
    <w:rsid w:val="3A013B84"/>
    <w:rsid w:val="3A13237D"/>
    <w:rsid w:val="3A144E67"/>
    <w:rsid w:val="3A241712"/>
    <w:rsid w:val="3A264768"/>
    <w:rsid w:val="3A3625CB"/>
    <w:rsid w:val="3A3C2EFF"/>
    <w:rsid w:val="3A4F49E1"/>
    <w:rsid w:val="3A5B3385"/>
    <w:rsid w:val="3A654204"/>
    <w:rsid w:val="3A6B4C94"/>
    <w:rsid w:val="3A7C36C1"/>
    <w:rsid w:val="3A813FD0"/>
    <w:rsid w:val="3B143534"/>
    <w:rsid w:val="3B277F78"/>
    <w:rsid w:val="3B343BD6"/>
    <w:rsid w:val="3B443E1A"/>
    <w:rsid w:val="3B487AA5"/>
    <w:rsid w:val="3B8B7492"/>
    <w:rsid w:val="3B936B4F"/>
    <w:rsid w:val="3B950762"/>
    <w:rsid w:val="3BC76033"/>
    <w:rsid w:val="3BCC3A5A"/>
    <w:rsid w:val="3C0352EF"/>
    <w:rsid w:val="3C2417FD"/>
    <w:rsid w:val="3C28373B"/>
    <w:rsid w:val="3C3C0F95"/>
    <w:rsid w:val="3C522B71"/>
    <w:rsid w:val="3C574020"/>
    <w:rsid w:val="3C6504EB"/>
    <w:rsid w:val="3C686BF7"/>
    <w:rsid w:val="3C776471"/>
    <w:rsid w:val="3C94548C"/>
    <w:rsid w:val="3C9C5DFF"/>
    <w:rsid w:val="3D2139CC"/>
    <w:rsid w:val="3D3620EA"/>
    <w:rsid w:val="3D517A49"/>
    <w:rsid w:val="3D5F4807"/>
    <w:rsid w:val="3D6F5598"/>
    <w:rsid w:val="3D884472"/>
    <w:rsid w:val="3D9B4DA3"/>
    <w:rsid w:val="3DB87A8F"/>
    <w:rsid w:val="3DE93317"/>
    <w:rsid w:val="3E045AE2"/>
    <w:rsid w:val="3E0D012A"/>
    <w:rsid w:val="3E324AC6"/>
    <w:rsid w:val="3E671296"/>
    <w:rsid w:val="3E7569E0"/>
    <w:rsid w:val="3E7D0106"/>
    <w:rsid w:val="3EB27775"/>
    <w:rsid w:val="3EB51F99"/>
    <w:rsid w:val="3EE35BD2"/>
    <w:rsid w:val="3EE83D35"/>
    <w:rsid w:val="3EF45B57"/>
    <w:rsid w:val="3F115500"/>
    <w:rsid w:val="3F6C7DE3"/>
    <w:rsid w:val="3F9E0124"/>
    <w:rsid w:val="3FD4152D"/>
    <w:rsid w:val="3FDB17C4"/>
    <w:rsid w:val="3FDFA859"/>
    <w:rsid w:val="3FF95F94"/>
    <w:rsid w:val="3FFB2F15"/>
    <w:rsid w:val="402E32EA"/>
    <w:rsid w:val="4051187B"/>
    <w:rsid w:val="40512B35"/>
    <w:rsid w:val="405A40DF"/>
    <w:rsid w:val="40721A30"/>
    <w:rsid w:val="40861D6F"/>
    <w:rsid w:val="40953369"/>
    <w:rsid w:val="40A32B51"/>
    <w:rsid w:val="40A62E81"/>
    <w:rsid w:val="40A94B29"/>
    <w:rsid w:val="40BC705D"/>
    <w:rsid w:val="40D514AA"/>
    <w:rsid w:val="40EA7211"/>
    <w:rsid w:val="40EE65D6"/>
    <w:rsid w:val="41197DBB"/>
    <w:rsid w:val="41235506"/>
    <w:rsid w:val="41244B7E"/>
    <w:rsid w:val="416E2953"/>
    <w:rsid w:val="41A75D44"/>
    <w:rsid w:val="41D140B5"/>
    <w:rsid w:val="41D430A6"/>
    <w:rsid w:val="42022339"/>
    <w:rsid w:val="42293AD3"/>
    <w:rsid w:val="4237620D"/>
    <w:rsid w:val="423B584A"/>
    <w:rsid w:val="424E78A7"/>
    <w:rsid w:val="426921FC"/>
    <w:rsid w:val="426E4901"/>
    <w:rsid w:val="428279C7"/>
    <w:rsid w:val="428611BC"/>
    <w:rsid w:val="42864D18"/>
    <w:rsid w:val="428A2D72"/>
    <w:rsid w:val="42B2733B"/>
    <w:rsid w:val="42C97532"/>
    <w:rsid w:val="4303280C"/>
    <w:rsid w:val="43175899"/>
    <w:rsid w:val="434516C0"/>
    <w:rsid w:val="43476426"/>
    <w:rsid w:val="43542A33"/>
    <w:rsid w:val="435C1F1C"/>
    <w:rsid w:val="436639E6"/>
    <w:rsid w:val="438D20D6"/>
    <w:rsid w:val="43A21D15"/>
    <w:rsid w:val="43AC4C52"/>
    <w:rsid w:val="43FD725B"/>
    <w:rsid w:val="443F0837"/>
    <w:rsid w:val="444A7FC7"/>
    <w:rsid w:val="44663053"/>
    <w:rsid w:val="446C2633"/>
    <w:rsid w:val="447A4D50"/>
    <w:rsid w:val="44B10F3F"/>
    <w:rsid w:val="44E74103"/>
    <w:rsid w:val="452B5B5D"/>
    <w:rsid w:val="453122F6"/>
    <w:rsid w:val="453E18DA"/>
    <w:rsid w:val="45433000"/>
    <w:rsid w:val="45464C32"/>
    <w:rsid w:val="454A597F"/>
    <w:rsid w:val="455579D6"/>
    <w:rsid w:val="45701CAF"/>
    <w:rsid w:val="45774DEB"/>
    <w:rsid w:val="45B1654F"/>
    <w:rsid w:val="45D463CE"/>
    <w:rsid w:val="46250CEB"/>
    <w:rsid w:val="463E737E"/>
    <w:rsid w:val="46751D46"/>
    <w:rsid w:val="46905A4C"/>
    <w:rsid w:val="46AE6F33"/>
    <w:rsid w:val="46BD0F24"/>
    <w:rsid w:val="46C40504"/>
    <w:rsid w:val="46D4390B"/>
    <w:rsid w:val="46FF7778"/>
    <w:rsid w:val="47470357"/>
    <w:rsid w:val="474D04FA"/>
    <w:rsid w:val="476B441C"/>
    <w:rsid w:val="4770243A"/>
    <w:rsid w:val="477C493B"/>
    <w:rsid w:val="479223B1"/>
    <w:rsid w:val="479C9F46"/>
    <w:rsid w:val="47AA76FA"/>
    <w:rsid w:val="47CD163B"/>
    <w:rsid w:val="47E30E5E"/>
    <w:rsid w:val="47E86EB2"/>
    <w:rsid w:val="47FE3C88"/>
    <w:rsid w:val="48036E0A"/>
    <w:rsid w:val="480E5EDB"/>
    <w:rsid w:val="481608BE"/>
    <w:rsid w:val="481E3C44"/>
    <w:rsid w:val="483262D3"/>
    <w:rsid w:val="48515DC8"/>
    <w:rsid w:val="485F2D72"/>
    <w:rsid w:val="48690195"/>
    <w:rsid w:val="4872546B"/>
    <w:rsid w:val="48822425"/>
    <w:rsid w:val="488D7A30"/>
    <w:rsid w:val="48D16F09"/>
    <w:rsid w:val="48E21116"/>
    <w:rsid w:val="48F30C2D"/>
    <w:rsid w:val="495711BC"/>
    <w:rsid w:val="495E079C"/>
    <w:rsid w:val="49846D3F"/>
    <w:rsid w:val="49A62143"/>
    <w:rsid w:val="49FBFB06"/>
    <w:rsid w:val="4A080708"/>
    <w:rsid w:val="4A2E7C0C"/>
    <w:rsid w:val="4A2F2139"/>
    <w:rsid w:val="4A655481"/>
    <w:rsid w:val="4A963CF7"/>
    <w:rsid w:val="4AD652B4"/>
    <w:rsid w:val="4B481A7C"/>
    <w:rsid w:val="4B5C1408"/>
    <w:rsid w:val="4B7047B7"/>
    <w:rsid w:val="4B8169C4"/>
    <w:rsid w:val="4BBB64B3"/>
    <w:rsid w:val="4BC05F54"/>
    <w:rsid w:val="4BCE5880"/>
    <w:rsid w:val="4BDC3BFA"/>
    <w:rsid w:val="4BE464EB"/>
    <w:rsid w:val="4BEA1626"/>
    <w:rsid w:val="4C183123"/>
    <w:rsid w:val="4C4518C0"/>
    <w:rsid w:val="4C59349D"/>
    <w:rsid w:val="4C59524B"/>
    <w:rsid w:val="4C6065D9"/>
    <w:rsid w:val="4C7E066F"/>
    <w:rsid w:val="4C7E0947"/>
    <w:rsid w:val="4CDB0F05"/>
    <w:rsid w:val="4CE216E4"/>
    <w:rsid w:val="4D084097"/>
    <w:rsid w:val="4D136243"/>
    <w:rsid w:val="4D6B149B"/>
    <w:rsid w:val="4D8C33FE"/>
    <w:rsid w:val="4DCA5DBC"/>
    <w:rsid w:val="4DCE180C"/>
    <w:rsid w:val="4DDF79D2"/>
    <w:rsid w:val="4E1E499E"/>
    <w:rsid w:val="4E2B0E69"/>
    <w:rsid w:val="4E4D0DDF"/>
    <w:rsid w:val="4E644979"/>
    <w:rsid w:val="4E656129"/>
    <w:rsid w:val="4E676345"/>
    <w:rsid w:val="4E82397E"/>
    <w:rsid w:val="4E8C5DAC"/>
    <w:rsid w:val="4EA503D4"/>
    <w:rsid w:val="4EB41A1D"/>
    <w:rsid w:val="4ED34DA4"/>
    <w:rsid w:val="4F074CB2"/>
    <w:rsid w:val="4F147B4F"/>
    <w:rsid w:val="4F7242E4"/>
    <w:rsid w:val="4F8F5B2E"/>
    <w:rsid w:val="4F972991"/>
    <w:rsid w:val="4FA37B67"/>
    <w:rsid w:val="4FC155E1"/>
    <w:rsid w:val="4FEF3E44"/>
    <w:rsid w:val="4FFA6D45"/>
    <w:rsid w:val="4FFD64C7"/>
    <w:rsid w:val="50027D7D"/>
    <w:rsid w:val="500C67EA"/>
    <w:rsid w:val="50465216"/>
    <w:rsid w:val="50487D45"/>
    <w:rsid w:val="50AC1D83"/>
    <w:rsid w:val="50BF0FD8"/>
    <w:rsid w:val="50C23D07"/>
    <w:rsid w:val="50CD0B80"/>
    <w:rsid w:val="50E7634E"/>
    <w:rsid w:val="510B5DB7"/>
    <w:rsid w:val="510E07AC"/>
    <w:rsid w:val="511B3417"/>
    <w:rsid w:val="51330760"/>
    <w:rsid w:val="513623C6"/>
    <w:rsid w:val="51556929"/>
    <w:rsid w:val="51A20636"/>
    <w:rsid w:val="51AA02F7"/>
    <w:rsid w:val="51C07B1A"/>
    <w:rsid w:val="51C86E8F"/>
    <w:rsid w:val="52107E9A"/>
    <w:rsid w:val="521F0B4A"/>
    <w:rsid w:val="525C5A95"/>
    <w:rsid w:val="52635075"/>
    <w:rsid w:val="526E7575"/>
    <w:rsid w:val="52741FD4"/>
    <w:rsid w:val="52815ED9"/>
    <w:rsid w:val="52A0149C"/>
    <w:rsid w:val="52C57426"/>
    <w:rsid w:val="52E53CDC"/>
    <w:rsid w:val="530F48B5"/>
    <w:rsid w:val="53330A6F"/>
    <w:rsid w:val="533D3AC5"/>
    <w:rsid w:val="536B52AC"/>
    <w:rsid w:val="537D2167"/>
    <w:rsid w:val="53990623"/>
    <w:rsid w:val="539F20DD"/>
    <w:rsid w:val="53EC109A"/>
    <w:rsid w:val="5415414D"/>
    <w:rsid w:val="5422686A"/>
    <w:rsid w:val="54240834"/>
    <w:rsid w:val="54335874"/>
    <w:rsid w:val="54372316"/>
    <w:rsid w:val="544E1D0D"/>
    <w:rsid w:val="54512B4A"/>
    <w:rsid w:val="54895201"/>
    <w:rsid w:val="548E5CAE"/>
    <w:rsid w:val="54A33A38"/>
    <w:rsid w:val="54A85E18"/>
    <w:rsid w:val="54C738F3"/>
    <w:rsid w:val="54D47B64"/>
    <w:rsid w:val="54D60364"/>
    <w:rsid w:val="54DB483E"/>
    <w:rsid w:val="54E57FC4"/>
    <w:rsid w:val="54F46459"/>
    <w:rsid w:val="5521466C"/>
    <w:rsid w:val="552476A8"/>
    <w:rsid w:val="55292DFE"/>
    <w:rsid w:val="55641D3C"/>
    <w:rsid w:val="557914C7"/>
    <w:rsid w:val="557C1500"/>
    <w:rsid w:val="55DC4897"/>
    <w:rsid w:val="55F3545B"/>
    <w:rsid w:val="560B080E"/>
    <w:rsid w:val="560D1776"/>
    <w:rsid w:val="562F7C2C"/>
    <w:rsid w:val="56343C80"/>
    <w:rsid w:val="56710262"/>
    <w:rsid w:val="568A39E1"/>
    <w:rsid w:val="56B50E8F"/>
    <w:rsid w:val="56C37E91"/>
    <w:rsid w:val="56C87B9D"/>
    <w:rsid w:val="571320D3"/>
    <w:rsid w:val="571E7ECD"/>
    <w:rsid w:val="5790345D"/>
    <w:rsid w:val="57C54F7B"/>
    <w:rsid w:val="57D92E5A"/>
    <w:rsid w:val="57DD3E74"/>
    <w:rsid w:val="58131BC3"/>
    <w:rsid w:val="58580AAD"/>
    <w:rsid w:val="585C3C2E"/>
    <w:rsid w:val="586D5B56"/>
    <w:rsid w:val="592974FC"/>
    <w:rsid w:val="59485F1A"/>
    <w:rsid w:val="595E6596"/>
    <w:rsid w:val="59783B4E"/>
    <w:rsid w:val="59837DAB"/>
    <w:rsid w:val="599311A8"/>
    <w:rsid w:val="59B166C6"/>
    <w:rsid w:val="59EC76FE"/>
    <w:rsid w:val="5A247BAA"/>
    <w:rsid w:val="5A3C672A"/>
    <w:rsid w:val="5A6C083F"/>
    <w:rsid w:val="5A7A11AE"/>
    <w:rsid w:val="5AA63D51"/>
    <w:rsid w:val="5AB20948"/>
    <w:rsid w:val="5ADC23D0"/>
    <w:rsid w:val="5AF95A53"/>
    <w:rsid w:val="5B262AFC"/>
    <w:rsid w:val="5B315F4E"/>
    <w:rsid w:val="5BC33C56"/>
    <w:rsid w:val="5BE15DD7"/>
    <w:rsid w:val="5BE54D4D"/>
    <w:rsid w:val="5BED16CF"/>
    <w:rsid w:val="5C2E2250"/>
    <w:rsid w:val="5C320B69"/>
    <w:rsid w:val="5C3D63A0"/>
    <w:rsid w:val="5C62639E"/>
    <w:rsid w:val="5C6C4421"/>
    <w:rsid w:val="5C7F2AAC"/>
    <w:rsid w:val="5C992D5B"/>
    <w:rsid w:val="5CA11882"/>
    <w:rsid w:val="5CF214D0"/>
    <w:rsid w:val="5CF442BE"/>
    <w:rsid w:val="5CF61AD7"/>
    <w:rsid w:val="5D066D29"/>
    <w:rsid w:val="5D3D798D"/>
    <w:rsid w:val="5D777AF6"/>
    <w:rsid w:val="5D8365CC"/>
    <w:rsid w:val="5D9407D9"/>
    <w:rsid w:val="5DB744C7"/>
    <w:rsid w:val="5DC34C1A"/>
    <w:rsid w:val="5E0F40AF"/>
    <w:rsid w:val="5E107356"/>
    <w:rsid w:val="5E127950"/>
    <w:rsid w:val="5E3E1D6E"/>
    <w:rsid w:val="5E511094"/>
    <w:rsid w:val="5E722521"/>
    <w:rsid w:val="5E826883"/>
    <w:rsid w:val="5E856373"/>
    <w:rsid w:val="5E8641B2"/>
    <w:rsid w:val="5EAA549F"/>
    <w:rsid w:val="5EBD5B0D"/>
    <w:rsid w:val="5ED82167"/>
    <w:rsid w:val="5EF238AB"/>
    <w:rsid w:val="5F2C4C16"/>
    <w:rsid w:val="5F2E6A0B"/>
    <w:rsid w:val="5F346D32"/>
    <w:rsid w:val="5F490F73"/>
    <w:rsid w:val="5F6A078D"/>
    <w:rsid w:val="5FC81932"/>
    <w:rsid w:val="5FDC6F72"/>
    <w:rsid w:val="5FE873D0"/>
    <w:rsid w:val="5FE91C23"/>
    <w:rsid w:val="600C009E"/>
    <w:rsid w:val="60320168"/>
    <w:rsid w:val="6037369D"/>
    <w:rsid w:val="60530A95"/>
    <w:rsid w:val="60736733"/>
    <w:rsid w:val="609339D3"/>
    <w:rsid w:val="60A70823"/>
    <w:rsid w:val="60A725D1"/>
    <w:rsid w:val="60B8021A"/>
    <w:rsid w:val="60C544FC"/>
    <w:rsid w:val="60DB659F"/>
    <w:rsid w:val="60E43825"/>
    <w:rsid w:val="612225FB"/>
    <w:rsid w:val="61224844"/>
    <w:rsid w:val="61414E85"/>
    <w:rsid w:val="61642270"/>
    <w:rsid w:val="61677FB2"/>
    <w:rsid w:val="61E12FCC"/>
    <w:rsid w:val="61EB0BE3"/>
    <w:rsid w:val="622A1D28"/>
    <w:rsid w:val="62353C0D"/>
    <w:rsid w:val="624D3D9E"/>
    <w:rsid w:val="62584C48"/>
    <w:rsid w:val="625B180A"/>
    <w:rsid w:val="6292105F"/>
    <w:rsid w:val="62951F87"/>
    <w:rsid w:val="629E7A04"/>
    <w:rsid w:val="62B334AF"/>
    <w:rsid w:val="62B66AFB"/>
    <w:rsid w:val="62C30581"/>
    <w:rsid w:val="62D561FA"/>
    <w:rsid w:val="62DA4EE0"/>
    <w:rsid w:val="62F95704"/>
    <w:rsid w:val="62FB00A1"/>
    <w:rsid w:val="63097573"/>
    <w:rsid w:val="634144DE"/>
    <w:rsid w:val="638C2CB2"/>
    <w:rsid w:val="63950E07"/>
    <w:rsid w:val="63A01E57"/>
    <w:rsid w:val="63A2C85E"/>
    <w:rsid w:val="63DE255A"/>
    <w:rsid w:val="63DF2685"/>
    <w:rsid w:val="63FF44D2"/>
    <w:rsid w:val="642D7291"/>
    <w:rsid w:val="643605FC"/>
    <w:rsid w:val="643A375C"/>
    <w:rsid w:val="644545DB"/>
    <w:rsid w:val="644553A5"/>
    <w:rsid w:val="646B3E10"/>
    <w:rsid w:val="64773463"/>
    <w:rsid w:val="647C3365"/>
    <w:rsid w:val="648D7686"/>
    <w:rsid w:val="64B33C3A"/>
    <w:rsid w:val="64B4710A"/>
    <w:rsid w:val="64B671C1"/>
    <w:rsid w:val="64C3145D"/>
    <w:rsid w:val="64D02C69"/>
    <w:rsid w:val="64D74F43"/>
    <w:rsid w:val="64D85D95"/>
    <w:rsid w:val="64EF4547"/>
    <w:rsid w:val="650C50F9"/>
    <w:rsid w:val="653C4A9F"/>
    <w:rsid w:val="65422D5C"/>
    <w:rsid w:val="65864963"/>
    <w:rsid w:val="65867EED"/>
    <w:rsid w:val="65B543B2"/>
    <w:rsid w:val="65C854C3"/>
    <w:rsid w:val="65DC4ACB"/>
    <w:rsid w:val="65DD0843"/>
    <w:rsid w:val="65E4605C"/>
    <w:rsid w:val="662E0EFD"/>
    <w:rsid w:val="66333704"/>
    <w:rsid w:val="665B6338"/>
    <w:rsid w:val="666F3F78"/>
    <w:rsid w:val="667F6685"/>
    <w:rsid w:val="66974E96"/>
    <w:rsid w:val="66A31A8D"/>
    <w:rsid w:val="66A51361"/>
    <w:rsid w:val="66AC2A10"/>
    <w:rsid w:val="66D103A8"/>
    <w:rsid w:val="66DC64A6"/>
    <w:rsid w:val="66DD4F9F"/>
    <w:rsid w:val="67095D94"/>
    <w:rsid w:val="670C13E0"/>
    <w:rsid w:val="671056D0"/>
    <w:rsid w:val="671C049D"/>
    <w:rsid w:val="67390D21"/>
    <w:rsid w:val="675A4E7D"/>
    <w:rsid w:val="67766731"/>
    <w:rsid w:val="67946A64"/>
    <w:rsid w:val="67987117"/>
    <w:rsid w:val="67FA5D46"/>
    <w:rsid w:val="681349F0"/>
    <w:rsid w:val="683A61F1"/>
    <w:rsid w:val="683B73BA"/>
    <w:rsid w:val="686E6EA8"/>
    <w:rsid w:val="68751368"/>
    <w:rsid w:val="688B6145"/>
    <w:rsid w:val="689478DF"/>
    <w:rsid w:val="68957BB3"/>
    <w:rsid w:val="68AF296B"/>
    <w:rsid w:val="69286279"/>
    <w:rsid w:val="69421A29"/>
    <w:rsid w:val="69594684"/>
    <w:rsid w:val="696E689C"/>
    <w:rsid w:val="69A5377A"/>
    <w:rsid w:val="69F95902"/>
    <w:rsid w:val="6A0E7A31"/>
    <w:rsid w:val="6A3241C0"/>
    <w:rsid w:val="6A5E63F6"/>
    <w:rsid w:val="6A931BD8"/>
    <w:rsid w:val="6A95793E"/>
    <w:rsid w:val="6A97F2AF"/>
    <w:rsid w:val="6ACC40D6"/>
    <w:rsid w:val="6AD960F9"/>
    <w:rsid w:val="6ADC731B"/>
    <w:rsid w:val="6ADD64E7"/>
    <w:rsid w:val="6AF3562A"/>
    <w:rsid w:val="6AF357B8"/>
    <w:rsid w:val="6AFB546D"/>
    <w:rsid w:val="6B5D13E6"/>
    <w:rsid w:val="6B680BAF"/>
    <w:rsid w:val="6B8D6867"/>
    <w:rsid w:val="6B916358"/>
    <w:rsid w:val="6BBB2C00"/>
    <w:rsid w:val="6BF35BBE"/>
    <w:rsid w:val="6C117498"/>
    <w:rsid w:val="6C9D02A8"/>
    <w:rsid w:val="6CA83959"/>
    <w:rsid w:val="6CB961E8"/>
    <w:rsid w:val="6CD12C2E"/>
    <w:rsid w:val="6CD24E7A"/>
    <w:rsid w:val="6CF90658"/>
    <w:rsid w:val="6D033285"/>
    <w:rsid w:val="6D282CEC"/>
    <w:rsid w:val="6D290959"/>
    <w:rsid w:val="6D3302FE"/>
    <w:rsid w:val="6D4573FA"/>
    <w:rsid w:val="6D502F5C"/>
    <w:rsid w:val="6D615252"/>
    <w:rsid w:val="6D667370"/>
    <w:rsid w:val="6D6A1239"/>
    <w:rsid w:val="6D8D275B"/>
    <w:rsid w:val="6D9640F9"/>
    <w:rsid w:val="6D9739CD"/>
    <w:rsid w:val="6DAA1953"/>
    <w:rsid w:val="6DB171C2"/>
    <w:rsid w:val="6DB602F7"/>
    <w:rsid w:val="6DD45692"/>
    <w:rsid w:val="6DD760D2"/>
    <w:rsid w:val="6DDAC29B"/>
    <w:rsid w:val="6DF5784D"/>
    <w:rsid w:val="6DFC0EA4"/>
    <w:rsid w:val="6E182D60"/>
    <w:rsid w:val="6E1D5846"/>
    <w:rsid w:val="6E1E4C0B"/>
    <w:rsid w:val="6E427DDD"/>
    <w:rsid w:val="6E445903"/>
    <w:rsid w:val="6E4F4C61"/>
    <w:rsid w:val="6E5A0C83"/>
    <w:rsid w:val="6E7837FF"/>
    <w:rsid w:val="6EFF16B6"/>
    <w:rsid w:val="6F350AC5"/>
    <w:rsid w:val="6F457B85"/>
    <w:rsid w:val="6F5A0502"/>
    <w:rsid w:val="6F6840AB"/>
    <w:rsid w:val="6F8434DA"/>
    <w:rsid w:val="6FA348AB"/>
    <w:rsid w:val="6FC36CFC"/>
    <w:rsid w:val="6FCE73C6"/>
    <w:rsid w:val="6FFFC6AF"/>
    <w:rsid w:val="702F4391"/>
    <w:rsid w:val="703A5210"/>
    <w:rsid w:val="705B0CE2"/>
    <w:rsid w:val="705B12D7"/>
    <w:rsid w:val="705D4B36"/>
    <w:rsid w:val="706510B7"/>
    <w:rsid w:val="706C07EA"/>
    <w:rsid w:val="70731D26"/>
    <w:rsid w:val="70A07936"/>
    <w:rsid w:val="70A41211"/>
    <w:rsid w:val="70C34916"/>
    <w:rsid w:val="70DC171E"/>
    <w:rsid w:val="710E7829"/>
    <w:rsid w:val="71152CAD"/>
    <w:rsid w:val="71230D3E"/>
    <w:rsid w:val="713678D0"/>
    <w:rsid w:val="713C7E70"/>
    <w:rsid w:val="7141437C"/>
    <w:rsid w:val="718B55F7"/>
    <w:rsid w:val="71A73308"/>
    <w:rsid w:val="71EA1E10"/>
    <w:rsid w:val="720B58E6"/>
    <w:rsid w:val="72182020"/>
    <w:rsid w:val="72192C03"/>
    <w:rsid w:val="724759C2"/>
    <w:rsid w:val="724B0ECA"/>
    <w:rsid w:val="724F0CC2"/>
    <w:rsid w:val="726A1A21"/>
    <w:rsid w:val="72907369"/>
    <w:rsid w:val="729552DE"/>
    <w:rsid w:val="72DB6EC5"/>
    <w:rsid w:val="72F24EC4"/>
    <w:rsid w:val="72F36AA4"/>
    <w:rsid w:val="731A2D6E"/>
    <w:rsid w:val="731C0AF4"/>
    <w:rsid w:val="73360E06"/>
    <w:rsid w:val="733F6699"/>
    <w:rsid w:val="735C549D"/>
    <w:rsid w:val="735F0AE9"/>
    <w:rsid w:val="73682094"/>
    <w:rsid w:val="73A62428"/>
    <w:rsid w:val="73D30BA9"/>
    <w:rsid w:val="73E9464B"/>
    <w:rsid w:val="740C0C71"/>
    <w:rsid w:val="74225D1F"/>
    <w:rsid w:val="74384AB6"/>
    <w:rsid w:val="745368A0"/>
    <w:rsid w:val="74654825"/>
    <w:rsid w:val="74B76DD7"/>
    <w:rsid w:val="74F21CE7"/>
    <w:rsid w:val="75A02B20"/>
    <w:rsid w:val="75AA39D6"/>
    <w:rsid w:val="75AE6DC5"/>
    <w:rsid w:val="75FC4D15"/>
    <w:rsid w:val="76263B40"/>
    <w:rsid w:val="763B583E"/>
    <w:rsid w:val="76432812"/>
    <w:rsid w:val="76510DDE"/>
    <w:rsid w:val="7656ADEB"/>
    <w:rsid w:val="7657019E"/>
    <w:rsid w:val="76AE6010"/>
    <w:rsid w:val="76C53359"/>
    <w:rsid w:val="76CF12AA"/>
    <w:rsid w:val="76EB7264"/>
    <w:rsid w:val="771B1288"/>
    <w:rsid w:val="772C2BCD"/>
    <w:rsid w:val="773E6C3F"/>
    <w:rsid w:val="774A578E"/>
    <w:rsid w:val="775C13BB"/>
    <w:rsid w:val="77690189"/>
    <w:rsid w:val="776C6C13"/>
    <w:rsid w:val="778F1D6B"/>
    <w:rsid w:val="779416A9"/>
    <w:rsid w:val="779532D7"/>
    <w:rsid w:val="77BC29AE"/>
    <w:rsid w:val="77C7589F"/>
    <w:rsid w:val="77E12415"/>
    <w:rsid w:val="78160310"/>
    <w:rsid w:val="78232A2D"/>
    <w:rsid w:val="7844495E"/>
    <w:rsid w:val="784D20BC"/>
    <w:rsid w:val="78A22EEF"/>
    <w:rsid w:val="78C26B27"/>
    <w:rsid w:val="78EA52F9"/>
    <w:rsid w:val="79334EF2"/>
    <w:rsid w:val="794013BD"/>
    <w:rsid w:val="798A119E"/>
    <w:rsid w:val="79A84CF6"/>
    <w:rsid w:val="79FA79DC"/>
    <w:rsid w:val="79FC2BD5"/>
    <w:rsid w:val="7A3316A6"/>
    <w:rsid w:val="7A3FD639"/>
    <w:rsid w:val="7A431165"/>
    <w:rsid w:val="7A53221E"/>
    <w:rsid w:val="7A5F5873"/>
    <w:rsid w:val="7A860847"/>
    <w:rsid w:val="7AAA5924"/>
    <w:rsid w:val="7AC758F2"/>
    <w:rsid w:val="7AF4245F"/>
    <w:rsid w:val="7AFE2E26"/>
    <w:rsid w:val="7B07403A"/>
    <w:rsid w:val="7B276391"/>
    <w:rsid w:val="7B3BB7DA"/>
    <w:rsid w:val="7B3C3170"/>
    <w:rsid w:val="7B6E2211"/>
    <w:rsid w:val="7B931C78"/>
    <w:rsid w:val="7B9A3006"/>
    <w:rsid w:val="7B9E1363"/>
    <w:rsid w:val="7BB4366E"/>
    <w:rsid w:val="7BE405B4"/>
    <w:rsid w:val="7BEEF8F2"/>
    <w:rsid w:val="7BF5648F"/>
    <w:rsid w:val="7BFF6DC9"/>
    <w:rsid w:val="7C09018C"/>
    <w:rsid w:val="7C264650"/>
    <w:rsid w:val="7C4B59FF"/>
    <w:rsid w:val="7C526206"/>
    <w:rsid w:val="7C64223C"/>
    <w:rsid w:val="7C7ABCDF"/>
    <w:rsid w:val="7C9363DA"/>
    <w:rsid w:val="7CCE493F"/>
    <w:rsid w:val="7CE34539"/>
    <w:rsid w:val="7D5D078F"/>
    <w:rsid w:val="7D5F3D95"/>
    <w:rsid w:val="7D6C6800"/>
    <w:rsid w:val="7D8201F6"/>
    <w:rsid w:val="7DAE677E"/>
    <w:rsid w:val="7DBEAE89"/>
    <w:rsid w:val="7DC61F22"/>
    <w:rsid w:val="7DD5734B"/>
    <w:rsid w:val="7DE665AC"/>
    <w:rsid w:val="7DEF1CF9"/>
    <w:rsid w:val="7E1A3C33"/>
    <w:rsid w:val="7ED21EF0"/>
    <w:rsid w:val="7EFDA3B3"/>
    <w:rsid w:val="7F1107D4"/>
    <w:rsid w:val="7F196938"/>
    <w:rsid w:val="7F360927"/>
    <w:rsid w:val="7F3823EB"/>
    <w:rsid w:val="7F48291A"/>
    <w:rsid w:val="7F6F47AA"/>
    <w:rsid w:val="7F7D6EC7"/>
    <w:rsid w:val="7F7DA7A2"/>
    <w:rsid w:val="7F824394"/>
    <w:rsid w:val="7F9701D9"/>
    <w:rsid w:val="7FA2692E"/>
    <w:rsid w:val="7FAED779"/>
    <w:rsid w:val="7FAF2E53"/>
    <w:rsid w:val="7FB126CD"/>
    <w:rsid w:val="7FF40B09"/>
    <w:rsid w:val="7FFB5FBC"/>
    <w:rsid w:val="7FFF2017"/>
    <w:rsid w:val="7FFF5889"/>
    <w:rsid w:val="7FFFDD9F"/>
    <w:rsid w:val="A897C733"/>
    <w:rsid w:val="BBB9DB92"/>
    <w:rsid w:val="BEF94869"/>
    <w:rsid w:val="BEFA7443"/>
    <w:rsid w:val="BFA32CEC"/>
    <w:rsid w:val="CEFFFC8A"/>
    <w:rsid w:val="D5CFA8A9"/>
    <w:rsid w:val="E59958B1"/>
    <w:rsid w:val="EC39560A"/>
    <w:rsid w:val="ED7F4F28"/>
    <w:rsid w:val="EF9B01D3"/>
    <w:rsid w:val="EFAFA9CA"/>
    <w:rsid w:val="EFFD2FF9"/>
    <w:rsid w:val="F5BB29B6"/>
    <w:rsid w:val="F6F552D5"/>
    <w:rsid w:val="F7F60778"/>
    <w:rsid w:val="FAF5F68D"/>
    <w:rsid w:val="FBD34DF6"/>
    <w:rsid w:val="FDFAD698"/>
    <w:rsid w:val="FE9568CD"/>
    <w:rsid w:val="FEE9C1CC"/>
    <w:rsid w:val="FF770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Calibri" w:hAnsi="Calibri"/>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5">
    <w:name w:val="annotation subject"/>
    <w:basedOn w:val="6"/>
    <w:next w:val="6"/>
    <w:link w:val="26"/>
    <w:qFormat/>
    <w:uiPriority w:val="0"/>
    <w:rPr>
      <w:b/>
      <w:bCs/>
    </w:rPr>
  </w:style>
  <w:style w:type="paragraph" w:styleId="6">
    <w:name w:val="annotation text"/>
    <w:basedOn w:val="1"/>
    <w:link w:val="25"/>
    <w:qFormat/>
    <w:uiPriority w:val="0"/>
    <w:pPr>
      <w:jc w:val="left"/>
    </w:pPr>
  </w:style>
  <w:style w:type="paragraph" w:styleId="7">
    <w:name w:val="Body Text First Indent"/>
    <w:basedOn w:val="8"/>
    <w:qFormat/>
    <w:uiPriority w:val="0"/>
    <w:pPr>
      <w:ind w:firstLine="420" w:firstLineChars="100"/>
    </w:pPr>
  </w:style>
  <w:style w:type="paragraph" w:styleId="8">
    <w:name w:val="Body Text"/>
    <w:basedOn w:val="1"/>
    <w:qFormat/>
    <w:uiPriority w:val="0"/>
    <w:pPr>
      <w:jc w:val="center"/>
    </w:pPr>
    <w:rPr>
      <w:rFonts w:ascii="华文中宋" w:hAnsi="宋体" w:eastAsia="华文中宋"/>
      <w:b/>
      <w:bCs/>
      <w:color w:val="000000"/>
      <w:sz w:val="36"/>
      <w:szCs w:val="20"/>
    </w:rPr>
  </w:style>
  <w:style w:type="paragraph" w:styleId="9">
    <w:name w:val="Body Text Indent"/>
    <w:basedOn w:val="1"/>
    <w:next w:val="1"/>
    <w:semiHidden/>
    <w:unhideWhenUsed/>
    <w:qFormat/>
    <w:uiPriority w:val="99"/>
    <w:pPr>
      <w:spacing w:after="120"/>
      <w:ind w:left="420" w:leftChars="200"/>
    </w:pPr>
  </w:style>
  <w:style w:type="paragraph" w:styleId="10">
    <w:name w:val="Date"/>
    <w:basedOn w:val="1"/>
    <w:next w:val="1"/>
    <w:link w:val="32"/>
    <w:semiHidden/>
    <w:unhideWhenUsed/>
    <w:qFormat/>
    <w:uiPriority w:val="0"/>
    <w:pPr>
      <w:ind w:left="100" w:leftChars="2500"/>
    </w:pPr>
  </w:style>
  <w:style w:type="paragraph" w:styleId="11">
    <w:name w:val="Balloon Text"/>
    <w:basedOn w:val="1"/>
    <w:link w:val="27"/>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9"/>
    <w:qFormat/>
    <w:uiPriority w:val="0"/>
    <w:pPr>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Hyperlink"/>
    <w:unhideWhenUsed/>
    <w:qFormat/>
    <w:uiPriority w:val="99"/>
    <w:rPr>
      <w:color w:val="0000FF"/>
      <w:u w:val="single"/>
    </w:rPr>
  </w:style>
  <w:style w:type="character" w:styleId="21">
    <w:name w:val="annotation reference"/>
    <w:basedOn w:val="18"/>
    <w:qFormat/>
    <w:uiPriority w:val="0"/>
    <w:rPr>
      <w:sz w:val="21"/>
      <w:szCs w:val="21"/>
    </w:rPr>
  </w:style>
  <w:style w:type="table" w:styleId="2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24">
    <w:name w:val="列出段落1"/>
    <w:basedOn w:val="1"/>
    <w:qFormat/>
    <w:uiPriority w:val="34"/>
    <w:pPr>
      <w:ind w:firstLine="420" w:firstLineChars="200"/>
    </w:pPr>
    <w:rPr>
      <w:rFonts w:ascii="Calibri" w:hAnsi="Calibri" w:cs="黑体"/>
      <w:szCs w:val="22"/>
    </w:rPr>
  </w:style>
  <w:style w:type="character" w:customStyle="1" w:styleId="25">
    <w:name w:val="批注文字 Char"/>
    <w:basedOn w:val="18"/>
    <w:link w:val="6"/>
    <w:qFormat/>
    <w:uiPriority w:val="0"/>
    <w:rPr>
      <w:rFonts w:ascii="Times New Roman" w:hAnsi="Times New Roman" w:eastAsia="宋体" w:cs="Times New Roman"/>
      <w:kern w:val="2"/>
      <w:sz w:val="21"/>
      <w:szCs w:val="24"/>
    </w:rPr>
  </w:style>
  <w:style w:type="character" w:customStyle="1" w:styleId="26">
    <w:name w:val="批注主题 Char"/>
    <w:basedOn w:val="25"/>
    <w:link w:val="5"/>
    <w:qFormat/>
    <w:uiPriority w:val="0"/>
    <w:rPr>
      <w:rFonts w:ascii="Times New Roman" w:hAnsi="Times New Roman" w:eastAsia="宋体" w:cs="Times New Roman"/>
      <w:b/>
      <w:bCs/>
      <w:kern w:val="2"/>
      <w:sz w:val="21"/>
      <w:szCs w:val="24"/>
    </w:rPr>
  </w:style>
  <w:style w:type="character" w:customStyle="1" w:styleId="27">
    <w:name w:val="批注框文本 Char"/>
    <w:basedOn w:val="18"/>
    <w:link w:val="11"/>
    <w:qFormat/>
    <w:uiPriority w:val="0"/>
    <w:rPr>
      <w:rFonts w:ascii="Times New Roman" w:hAnsi="Times New Roman" w:eastAsia="宋体" w:cs="Times New Roman"/>
      <w:kern w:val="2"/>
      <w:sz w:val="18"/>
      <w:szCs w:val="18"/>
    </w:rPr>
  </w:style>
  <w:style w:type="paragraph" w:customStyle="1" w:styleId="28">
    <w:name w:val="列出段落2"/>
    <w:basedOn w:val="1"/>
    <w:unhideWhenUsed/>
    <w:qFormat/>
    <w:uiPriority w:val="99"/>
    <w:pPr>
      <w:ind w:firstLine="420" w:firstLineChars="200"/>
    </w:pPr>
  </w:style>
  <w:style w:type="character" w:customStyle="1" w:styleId="29">
    <w:name w:val="页脚 Char"/>
    <w:basedOn w:val="18"/>
    <w:link w:val="12"/>
    <w:qFormat/>
    <w:uiPriority w:val="99"/>
    <w:rPr>
      <w:rFonts w:ascii="Times New Roman" w:hAnsi="Times New Roman" w:eastAsia="宋体" w:cs="Times New Roman"/>
      <w:kern w:val="2"/>
      <w:sz w:val="18"/>
    </w:rPr>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日期 Char"/>
    <w:basedOn w:val="18"/>
    <w:link w:val="10"/>
    <w:semiHidden/>
    <w:qFormat/>
    <w:uiPriority w:val="0"/>
    <w:rPr>
      <w:kern w:val="2"/>
      <w:sz w:val="21"/>
      <w:szCs w:val="24"/>
    </w:rPr>
  </w:style>
  <w:style w:type="paragraph" w:customStyle="1" w:styleId="33">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34">
    <w:name w:val="font11"/>
    <w:basedOn w:val="18"/>
    <w:qFormat/>
    <w:uiPriority w:val="0"/>
    <w:rPr>
      <w:rFonts w:hint="eastAsia" w:ascii="宋体" w:hAnsi="宋体" w:eastAsia="宋体" w:cs="宋体"/>
      <w:color w:val="000000"/>
      <w:sz w:val="18"/>
      <w:szCs w:val="18"/>
      <w:u w:val="none"/>
    </w:rPr>
  </w:style>
  <w:style w:type="character" w:customStyle="1" w:styleId="35">
    <w:name w:val="font21"/>
    <w:basedOn w:val="18"/>
    <w:qFormat/>
    <w:uiPriority w:val="0"/>
    <w:rPr>
      <w:rFonts w:hint="eastAsia" w:ascii="宋体" w:hAnsi="宋体" w:eastAsia="宋体" w:cs="宋体"/>
      <w:color w:val="000000"/>
      <w:sz w:val="18"/>
      <w:szCs w:val="18"/>
      <w:u w:val="none"/>
    </w:rPr>
  </w:style>
  <w:style w:type="character" w:customStyle="1" w:styleId="36">
    <w:name w:val="NormalCharacter"/>
    <w:semiHidden/>
    <w:qFormat/>
    <w:uiPriority w:val="0"/>
  </w:style>
  <w:style w:type="character" w:customStyle="1" w:styleId="37">
    <w:name w:val="font61"/>
    <w:basedOn w:val="18"/>
    <w:qFormat/>
    <w:uiPriority w:val="0"/>
    <w:rPr>
      <w:rFonts w:hint="eastAsia" w:ascii="宋体" w:hAnsi="宋体" w:eastAsia="宋体" w:cs="宋体"/>
      <w:b/>
      <w:bCs/>
      <w:color w:val="000000"/>
      <w:sz w:val="18"/>
      <w:szCs w:val="18"/>
      <w:u w:val="none"/>
    </w:rPr>
  </w:style>
  <w:style w:type="character" w:customStyle="1" w:styleId="38">
    <w:name w:val="font41"/>
    <w:basedOn w:val="18"/>
    <w:qFormat/>
    <w:uiPriority w:val="0"/>
    <w:rPr>
      <w:rFonts w:hint="eastAsia" w:ascii="宋体" w:hAnsi="宋体" w:eastAsia="宋体" w:cs="宋体"/>
      <w:color w:val="000000"/>
      <w:sz w:val="18"/>
      <w:szCs w:val="18"/>
      <w:u w:val="none"/>
    </w:rPr>
  </w:style>
  <w:style w:type="character" w:customStyle="1" w:styleId="39">
    <w:name w:val="font3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14840</Words>
  <Characters>15975</Characters>
  <Lines>94</Lines>
  <Paragraphs>26</Paragraphs>
  <TotalTime>53</TotalTime>
  <ScaleCrop>false</ScaleCrop>
  <LinksUpToDate>false</LinksUpToDate>
  <CharactersWithSpaces>16081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2022-03-13T19:16:00Z</dcterms:created>
  <dc:creator>user</dc:creator>
  <cp:lastModifiedBy>Administrator</cp:lastModifiedBy>
  <cp:lastPrinted>2022-05-25T15:00:00Z</cp:lastPrinted>
  <dcterms:modified xsi:type="dcterms:W3CDTF">2025-08-26T07:23:52Z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0BB803A5D5AF4E5DA04F43A4B6A93F6C_13</vt:lpwstr>
  </property>
  <property fmtid="{D5CDD505-2E9C-101B-9397-08002B2CF9AE}" pid="4" name="KSOTemplateDocerSaveRecord">
    <vt:lpwstr>eyJoZGlkIjoiMjhkMjU4YjFmZTI4MGY4M2ZlMTZjNmRjOGFkZjM4NzMiLCJ1c2VySWQiOiI2ODcyMzU4OTYifQ==</vt:lpwstr>
  </property>
</Properties>
</file>