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北京市妇女联合会</w:t>
      </w:r>
    </w:p>
    <w:p>
      <w:pPr>
        <w:keepNext w:val="0"/>
        <w:keepLines w:val="0"/>
        <w:pageBreakBefore w:val="0"/>
        <w:kinsoku/>
        <w:wordWrap/>
        <w:overflowPunct/>
        <w:topLinePunct w:val="0"/>
        <w:autoSpaceDE/>
        <w:autoSpaceDN/>
        <w:bidi w:val="0"/>
        <w:spacing w:line="560" w:lineRule="exact"/>
        <w:jc w:val="center"/>
        <w:rPr>
          <w:rFonts w:ascii="方正小标宋简体" w:eastAsia="方正小标宋简体"/>
          <w:sz w:val="36"/>
          <w:szCs w:val="36"/>
        </w:rPr>
      </w:pPr>
      <w:r>
        <w:rPr>
          <w:rFonts w:hint="eastAsia" w:ascii="方正小标宋简体" w:eastAsia="方正小标宋简体"/>
          <w:sz w:val="36"/>
          <w:szCs w:val="36"/>
          <w:lang w:val="en-US" w:eastAsia="zh-CN"/>
        </w:rPr>
        <w:t>2021年度</w:t>
      </w:r>
      <w:r>
        <w:rPr>
          <w:rFonts w:hint="eastAsia" w:ascii="方正小标宋简体" w:eastAsia="方正小标宋简体"/>
          <w:sz w:val="36"/>
          <w:szCs w:val="36"/>
        </w:rPr>
        <w:t>部门整体绩效评价报告</w:t>
      </w:r>
    </w:p>
    <w:p>
      <w:pPr>
        <w:keepNext w:val="0"/>
        <w:keepLines w:val="0"/>
        <w:pageBreakBefore w:val="0"/>
        <w:kinsoku/>
        <w:wordWrap/>
        <w:overflowPunct/>
        <w:topLinePunct w:val="0"/>
        <w:autoSpaceDE/>
        <w:autoSpaceDN/>
        <w:bidi w:val="0"/>
        <w:spacing w:line="560" w:lineRule="exact"/>
        <w:jc w:val="center"/>
        <w:rPr>
          <w:rFonts w:ascii="仿宋_GB2312"/>
          <w:szCs w:val="30"/>
        </w:rPr>
      </w:pP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keepNext w:val="0"/>
        <w:keepLines w:val="0"/>
        <w:pageBreakBefore w:val="0"/>
        <w:kinsoku/>
        <w:wordWrap/>
        <w:overflowPunct/>
        <w:topLinePunct w:val="0"/>
        <w:autoSpaceDE/>
        <w:autoSpaceDN/>
        <w:bidi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keepNext w:val="0"/>
        <w:keepLines w:val="0"/>
        <w:pageBreakBefore w:val="0"/>
        <w:widowControl w:val="0"/>
        <w:suppressLineNumbers w:val="0"/>
        <w:tabs>
          <w:tab w:val="center" w:pos="6979"/>
        </w:tabs>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2021年</w:t>
      </w:r>
      <w:r>
        <w:rPr>
          <w:rFonts w:hint="eastAsia" w:ascii="仿宋_GB2312" w:hAnsi="Times New Roman" w:eastAsia="仿宋_GB2312" w:cs="仿宋_GB2312"/>
          <w:kern w:val="2"/>
          <w:sz w:val="32"/>
          <w:szCs w:val="32"/>
          <w:lang w:val="en-US" w:eastAsia="zh-CN" w:bidi="ar"/>
        </w:rPr>
        <w:t>市妇联系统</w:t>
      </w:r>
      <w:r>
        <w:rPr>
          <w:rFonts w:hint="eastAsia" w:ascii="仿宋_GB2312" w:eastAsia="仿宋_GB2312" w:cs="仿宋_GB2312"/>
          <w:kern w:val="2"/>
          <w:sz w:val="32"/>
          <w:szCs w:val="32"/>
          <w:lang w:val="en-US" w:eastAsia="zh-CN" w:bidi="ar"/>
        </w:rPr>
        <w:t>所属</w:t>
      </w:r>
      <w:r>
        <w:rPr>
          <w:rFonts w:hint="eastAsia" w:ascii="仿宋_GB2312" w:hAnsi="Times New Roman" w:eastAsia="仿宋_GB2312" w:cs="仿宋_GB2312"/>
          <w:kern w:val="2"/>
          <w:sz w:val="32"/>
          <w:szCs w:val="32"/>
          <w:lang w:val="en-US" w:eastAsia="zh-CN" w:bidi="ar"/>
        </w:rPr>
        <w:t>单位共</w:t>
      </w:r>
      <w:r>
        <w:rPr>
          <w:rFonts w:hint="eastAsia" w:ascii="仿宋_GB2312" w:eastAsia="仿宋_GB2312" w:cs="仿宋_GB2312"/>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家，其中，行政单位1家：北京市妇女联合会本级行政;事业单位</w:t>
      </w:r>
      <w:r>
        <w:rPr>
          <w:rFonts w:hint="eastAsia" w:ascii="仿宋_GB2312" w:eastAsia="仿宋_GB2312" w:cs="仿宋_GB2312"/>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家：北京市妇女儿童服务中心、北京市妇女国际交流中心、北京市妇女干部学校</w:t>
      </w:r>
      <w:r>
        <w:rPr>
          <w:rFonts w:hint="eastAsia" w:ascii="仿宋_GB2312"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北京市妇女发展研究中心。其中北京市妇女发展研究中心是由原北京市妇联信息中心和北京妇女研究中心整合组建而成，于2021年3月经市委编办《关于北京市妇女联合会所属事业单位改革有关事项的批复》（京编委﹝2021﹞26号）批复成立；北京市妇女儿童服务中心是由原北京市妇女儿童社会</w:t>
      </w:r>
      <w:r>
        <w:rPr>
          <w:rFonts w:hint="eastAsia" w:ascii="仿宋_GB2312" w:eastAsia="仿宋_GB2312" w:cs="仿宋_GB2312"/>
          <w:kern w:val="2"/>
          <w:sz w:val="32"/>
          <w:szCs w:val="32"/>
          <w:lang w:val="en-US" w:eastAsia="zh-CN" w:bidi="ar"/>
        </w:rPr>
        <w:t>服务</w:t>
      </w:r>
      <w:r>
        <w:rPr>
          <w:rFonts w:hint="eastAsia" w:ascii="仿宋_GB2312" w:hAnsi="Times New Roman" w:eastAsia="仿宋_GB2312" w:cs="仿宋_GB2312"/>
          <w:kern w:val="2"/>
          <w:sz w:val="32"/>
          <w:szCs w:val="32"/>
          <w:lang w:val="en-US" w:eastAsia="zh-CN" w:bidi="ar"/>
        </w:rPr>
        <w:t>中心和北京市三八服务中心整合组建而成，于2021年3月经北京市编委（京编委﹝2021﹞26号)批复成立。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rPr>
          <w:rFonts w:hint="eastAsia" w:ascii="仿宋_GB2312" w:hAnsi="Arial Unicode MS" w:eastAsia="仿宋_GB2312" w:cs="仿宋_GB2312"/>
          <w:sz w:val="32"/>
          <w:szCs w:val="32"/>
          <w:lang w:val="en-US"/>
        </w:rPr>
      </w:pPr>
      <w:r>
        <w:rPr>
          <w:rFonts w:hint="eastAsia" w:ascii="仿宋_GB2312" w:hAnsi="Arial Unicode MS" w:eastAsia="仿宋_GB2312" w:cs="仿宋_GB2312"/>
          <w:snapToGrid w:val="0"/>
          <w:kern w:val="2"/>
          <w:sz w:val="32"/>
          <w:szCs w:val="32"/>
          <w:lang w:val="en-US" w:eastAsia="zh-CN" w:bidi="ar"/>
        </w:rPr>
        <w:t>市妇联的基本职能是代表和维护妇女权益，促进男女平等。具体职责如下：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1</w:t>
      </w:r>
      <w:r>
        <w:rPr>
          <w:rFonts w:hint="eastAsia" w:ascii="仿宋_GB2312" w:hAnsi="Arial Unicode MS" w:eastAsia="仿宋_GB2312" w:cs="仿宋_GB2312"/>
          <w:snapToGrid w:val="0"/>
          <w:kern w:val="0"/>
          <w:sz w:val="32"/>
          <w:szCs w:val="32"/>
          <w:lang w:val="en-US" w:eastAsia="zh-CN" w:bidi="ar"/>
        </w:rPr>
        <w:t>）坚持正确的政治方向，团结教育首都各族各界妇女以及各类妇女组织贯彻执行国家有关方针、政策、法律、法规及本市的有关规定，同党中央在思想上、政治上、行动上保持高度一致。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2</w:t>
      </w:r>
      <w:r>
        <w:rPr>
          <w:rFonts w:hint="eastAsia" w:ascii="仿宋_GB2312" w:hAnsi="Arial Unicode MS" w:eastAsia="仿宋_GB2312" w:cs="仿宋_GB2312"/>
          <w:snapToGrid w:val="0"/>
          <w:kern w:val="0"/>
          <w:sz w:val="32"/>
          <w:szCs w:val="32"/>
          <w:lang w:val="en-US" w:eastAsia="zh-CN" w:bidi="ar"/>
        </w:rPr>
        <w:t>）紧密围绕市委和市政府的中心任务开展工作，团结、动员全市妇女群众投身改革开放和首都的两个文明建设，积极促进首都经济发展和社会进步。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3</w:t>
      </w:r>
      <w:r>
        <w:rPr>
          <w:rFonts w:hint="eastAsia" w:ascii="仿宋_GB2312" w:hAnsi="Arial Unicode MS" w:eastAsia="仿宋_GB2312" w:cs="仿宋_GB2312"/>
          <w:snapToGrid w:val="0"/>
          <w:kern w:val="0"/>
          <w:sz w:val="32"/>
          <w:szCs w:val="32"/>
          <w:lang w:val="en-US" w:eastAsia="zh-CN" w:bidi="ar"/>
        </w:rPr>
        <w:t>）宣传马克思主义妇女观和男女平等的思想、教育、引导妇女树立正确的世界观、人生观、价值观，弘扬“自尊、自信、自立、自强”精神，积极开展对妇女的教育培训，弘扬和践行社会主义核心价值观。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4</w:t>
      </w:r>
      <w:r>
        <w:rPr>
          <w:rFonts w:hint="eastAsia" w:ascii="仿宋_GB2312" w:hAnsi="Arial Unicode MS" w:eastAsia="仿宋_GB2312" w:cs="仿宋_GB2312"/>
          <w:snapToGrid w:val="0"/>
          <w:kern w:val="0"/>
          <w:sz w:val="32"/>
          <w:szCs w:val="32"/>
          <w:lang w:val="en-US" w:eastAsia="zh-CN" w:bidi="ar"/>
        </w:rPr>
        <w:t>）代表妇女参与国家和社会事务的民主管理和民主监督；关注并加强研究涉及妇女切身利益的热点、难点问题，及时向市委和市政府反映社情民意，提出对策建议；参与研究制定有关妇女儿童的法律、法规和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5</w:t>
      </w:r>
      <w:r>
        <w:rPr>
          <w:rFonts w:hint="eastAsia" w:ascii="仿宋_GB2312" w:hAnsi="Arial Unicode MS" w:eastAsia="仿宋_GB2312" w:cs="仿宋_GB2312"/>
          <w:snapToGrid w:val="0"/>
          <w:kern w:val="0"/>
          <w:sz w:val="32"/>
          <w:szCs w:val="32"/>
          <w:lang w:val="en-US" w:eastAsia="zh-CN" w:bidi="ar"/>
        </w:rPr>
        <w:t>）坚持为妇女儿童服务、为基层服务，加强与社会各界的联系，协调推动全社会为妇女儿童办实事。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6</w:t>
      </w:r>
      <w:r>
        <w:rPr>
          <w:rFonts w:hint="eastAsia" w:ascii="仿宋_GB2312" w:hAnsi="Arial Unicode MS" w:eastAsia="仿宋_GB2312" w:cs="仿宋_GB2312"/>
          <w:snapToGrid w:val="0"/>
          <w:kern w:val="0"/>
          <w:sz w:val="32"/>
          <w:szCs w:val="32"/>
          <w:lang w:val="en-US" w:eastAsia="zh-CN" w:bidi="ar"/>
        </w:rPr>
        <w:t>）负责指导市妇联机关所属事业单位及女性团体的工作。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7</w:t>
      </w:r>
      <w:r>
        <w:rPr>
          <w:rFonts w:hint="eastAsia" w:ascii="仿宋_GB2312" w:hAnsi="Arial Unicode MS" w:eastAsia="仿宋_GB2312" w:cs="仿宋_GB2312"/>
          <w:snapToGrid w:val="0"/>
          <w:kern w:val="0"/>
          <w:sz w:val="32"/>
          <w:szCs w:val="32"/>
          <w:lang w:val="en-US" w:eastAsia="zh-CN" w:bidi="ar"/>
        </w:rPr>
        <w:t>）指导各区妇联依据《中华全国妇女联合会章程》和妇女代表大会的任务，开展妇女儿童工作；联系团体会员并给予工作指导。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8</w:t>
      </w:r>
      <w:r>
        <w:rPr>
          <w:rFonts w:hint="eastAsia" w:ascii="仿宋_GB2312" w:hAnsi="Arial Unicode MS" w:eastAsia="仿宋_GB2312" w:cs="仿宋_GB2312"/>
          <w:snapToGrid w:val="0"/>
          <w:kern w:val="0"/>
          <w:sz w:val="32"/>
          <w:szCs w:val="32"/>
          <w:lang w:val="en-US" w:eastAsia="zh-CN" w:bidi="ar"/>
        </w:rPr>
        <w:t>）加强同香港、澳门特别行政区，台湾及海外侨胞妇女的联谊；拓展同世界各国妇女和妇女组织的友好交往，增进了解和友谊，开展国际合作。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9</w:t>
      </w:r>
      <w:r>
        <w:rPr>
          <w:rFonts w:hint="eastAsia" w:ascii="仿宋_GB2312" w:hAnsi="Arial Unicode MS" w:eastAsia="仿宋_GB2312" w:cs="仿宋_GB2312"/>
          <w:snapToGrid w:val="0"/>
          <w:kern w:val="0"/>
          <w:sz w:val="32"/>
          <w:szCs w:val="32"/>
          <w:lang w:val="en-US" w:eastAsia="zh-CN" w:bidi="ar"/>
        </w:rPr>
        <w:t>）承担北京市妇女儿童工作委员会的日常工作。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320" w:firstLineChars="10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kern w:val="0"/>
          <w:sz w:val="32"/>
          <w:szCs w:val="32"/>
          <w:lang w:val="en-US" w:eastAsia="zh-CN" w:bidi="ar"/>
        </w:rPr>
        <w:t xml:space="preserve"> </w:t>
      </w: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10</w:t>
      </w:r>
      <w:r>
        <w:rPr>
          <w:rFonts w:hint="eastAsia" w:ascii="仿宋_GB2312" w:hAnsi="Arial Unicode MS" w:eastAsia="仿宋_GB2312" w:cs="仿宋_GB2312"/>
          <w:snapToGrid w:val="0"/>
          <w:kern w:val="0"/>
          <w:sz w:val="32"/>
          <w:szCs w:val="32"/>
          <w:lang w:val="en-US" w:eastAsia="zh-CN" w:bidi="ar"/>
        </w:rPr>
        <w:t>）研究提出全市妇女组织参与社会建设的规划、计划和政策、文件；统筹协调妇联系统“枢纽型”社会组织建设；负责妇女儿童类社会组织业务审查和日常联系、服务和管理工作；协调指导各区、各有关单位开展妇女社会组织组建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kern w:val="0"/>
          <w:sz w:val="32"/>
          <w:szCs w:val="32"/>
          <w:lang w:val="en-US"/>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11</w:t>
      </w:r>
      <w:r>
        <w:rPr>
          <w:rFonts w:hint="eastAsia" w:ascii="仿宋_GB2312" w:hAnsi="Arial Unicode MS" w:eastAsia="仿宋_GB2312" w:cs="仿宋_GB2312"/>
          <w:snapToGrid w:val="0"/>
          <w:kern w:val="0"/>
          <w:sz w:val="32"/>
          <w:szCs w:val="32"/>
          <w:lang w:val="en-US" w:eastAsia="zh-CN" w:bidi="ar"/>
        </w:rPr>
        <w:t>）组织指导推动和谐家庭创建活动和家庭文化建设等工作，指导各级妇联配合有关方面开展家庭教育活动；参与研究拟定有关儿童保护方面的法律法规和政策，协助推动儿童发展规划实施；组织指导各级妇联开展有益于儿童身心健康的活动，宣传儿童优先理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楷体_GB2312" w:eastAsia="楷体_GB2312"/>
          <w:sz w:val="32"/>
          <w:szCs w:val="32"/>
        </w:rPr>
      </w:pPr>
      <w:r>
        <w:rPr>
          <w:rFonts w:hint="eastAsia" w:ascii="仿宋_GB2312" w:hAnsi="Arial Unicode MS" w:eastAsia="仿宋_GB2312" w:cs="仿宋_GB2312"/>
          <w:snapToGrid w:val="0"/>
          <w:kern w:val="0"/>
          <w:sz w:val="32"/>
          <w:szCs w:val="32"/>
          <w:lang w:val="en-US" w:eastAsia="zh-CN" w:bidi="ar"/>
        </w:rPr>
        <w:t>（</w:t>
      </w:r>
      <w:r>
        <w:rPr>
          <w:rFonts w:hint="eastAsia" w:ascii="仿宋_GB2312" w:hAnsi="Arial Unicode MS" w:eastAsia="仿宋_GB2312" w:cs="仿宋_GB2312"/>
          <w:kern w:val="0"/>
          <w:sz w:val="32"/>
          <w:szCs w:val="32"/>
          <w:lang w:val="en-US" w:eastAsia="zh-CN" w:bidi="ar"/>
        </w:rPr>
        <w:t>12</w:t>
      </w:r>
      <w:r>
        <w:rPr>
          <w:rFonts w:hint="eastAsia" w:ascii="仿宋_GB2312" w:hAnsi="Arial Unicode MS" w:eastAsia="仿宋_GB2312" w:cs="仿宋_GB2312"/>
          <w:snapToGrid w:val="0"/>
          <w:kern w:val="0"/>
          <w:sz w:val="32"/>
          <w:szCs w:val="32"/>
          <w:lang w:val="en-US" w:eastAsia="zh-CN" w:bidi="ar"/>
        </w:rPr>
        <w:t>）承办市委、市政府交办的其他事项。</w:t>
      </w:r>
    </w:p>
    <w:p>
      <w:pPr>
        <w:keepNext w:val="0"/>
        <w:keepLines w:val="0"/>
        <w:pageBreakBefore w:val="0"/>
        <w:kinsoku/>
        <w:wordWrap/>
        <w:overflowPunct/>
        <w:topLinePunct w:val="0"/>
        <w:autoSpaceDE/>
        <w:autoSpaceDN/>
        <w:bidi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highlight w:val="none"/>
        </w:rPr>
        <w:t>（二）部门整体绩效目标设立情况</w:t>
      </w:r>
      <w:r>
        <w:rPr>
          <w:rFonts w:hint="eastAsia" w:ascii="楷体_GB2312" w:eastAsia="楷体_GB2312"/>
          <w:sz w:val="32"/>
          <w:szCs w:val="32"/>
        </w:rPr>
        <w:t>（包括绩效目标设立依据、目标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snapToGrid w:val="0"/>
          <w:kern w:val="0"/>
          <w:sz w:val="32"/>
          <w:szCs w:val="32"/>
          <w:lang w:val="en-US" w:eastAsia="zh-CN" w:bidi="ar"/>
        </w:rPr>
      </w:pPr>
      <w:r>
        <w:rPr>
          <w:rFonts w:hint="eastAsia" w:ascii="仿宋_GB2312" w:hAnsi="Arial Unicode MS" w:eastAsia="仿宋_GB2312" w:cs="仿宋_GB2312"/>
          <w:snapToGrid w:val="0"/>
          <w:kern w:val="0"/>
          <w:sz w:val="32"/>
          <w:szCs w:val="32"/>
          <w:lang w:val="en-US" w:eastAsia="zh-CN" w:bidi="ar"/>
        </w:rPr>
        <w:t>部门总体目标是本着厉行节约、精打细算的原则安排年度支出预算，将单位履职工作需要与部门预算有机结合，加强财政资金支出绩效管理，强化各部门支出责任，建立科学、合理的财政资金绩效管理机制，提高单位预算管理水平，充分发挥财政资金使用效益。</w:t>
      </w:r>
    </w:p>
    <w:p>
      <w:pPr>
        <w:pStyle w:val="5"/>
        <w:ind w:firstLine="640"/>
        <w:rPr>
          <w:rFonts w:hint="eastAsia" w:ascii="仿宋_GB2312" w:hAnsi="Arial Unicode MS" w:eastAsia="仿宋_GB2312" w:cs="仿宋_GB2312"/>
          <w:snapToGrid w:val="0"/>
          <w:kern w:val="0"/>
          <w:sz w:val="32"/>
          <w:szCs w:val="32"/>
          <w:lang w:val="en-US" w:eastAsia="zh-CN" w:bidi="ar"/>
        </w:rPr>
      </w:pPr>
      <w:r>
        <w:rPr>
          <w:rFonts w:hint="eastAsia" w:ascii="仿宋_GB2312" w:hAnsi="Arial Unicode MS" w:eastAsia="仿宋_GB2312" w:cs="仿宋_GB2312"/>
          <w:snapToGrid w:val="0"/>
          <w:kern w:val="0"/>
          <w:sz w:val="32"/>
          <w:szCs w:val="32"/>
          <w:lang w:val="en-US" w:eastAsia="zh-CN" w:bidi="ar"/>
        </w:rPr>
        <w:t>具体绩效指标如下：</w:t>
      </w:r>
    </w:p>
    <w:tbl>
      <w:tblPr>
        <w:tblStyle w:val="11"/>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7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7" w:hRule="atLeast"/>
        </w:trPr>
        <w:tc>
          <w:tcPr>
            <w:tcW w:w="8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18"/>
                <w:szCs w:val="18"/>
                <w:u w:val="none"/>
              </w:rPr>
            </w:pPr>
            <w:r>
              <w:rPr>
                <w:rFonts w:hint="eastAsia" w:ascii="黑体" w:hAnsi="黑体" w:eastAsia="黑体" w:cs="黑体"/>
                <w:b/>
                <w:i w:val="0"/>
                <w:color w:val="000000"/>
                <w:kern w:val="0"/>
                <w:sz w:val="24"/>
                <w:szCs w:val="24"/>
                <w:u w:val="none"/>
                <w:lang w:val="en-US" w:eastAsia="zh-CN" w:bidi="ar"/>
              </w:rPr>
              <w:t>市妇联2021年部门绩效指标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2"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绩效指标一</w:t>
            </w:r>
          </w:p>
        </w:tc>
        <w:tc>
          <w:tcPr>
            <w:tcW w:w="7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数量指标：完成项目数量≥24个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绩效指标二</w:t>
            </w:r>
          </w:p>
        </w:tc>
        <w:tc>
          <w:tcPr>
            <w:tcW w:w="7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质量指标：基本完成预期目标，全部项目部门绩效评价结果为良以上，为优的项目≥3个；基本经费保证机构正常运转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1"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绩效指标三</w:t>
            </w:r>
          </w:p>
        </w:tc>
        <w:tc>
          <w:tcPr>
            <w:tcW w:w="7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支出进度指标：按合同约定和工作计划规范有序安排工作进度，10月底前完成预算支付。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绩效指标四</w:t>
            </w:r>
          </w:p>
        </w:tc>
        <w:tc>
          <w:tcPr>
            <w:tcW w:w="7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成本指标：本着厉行节约原则，支出小于预算批复数8,865.162873万元，按照市委市政府要求及其他特殊情况增加预算支出除外。旨在提高单位预算管理水平，充分发挥财政资金使用效益。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5"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绩效指标五</w:t>
            </w:r>
          </w:p>
        </w:tc>
        <w:tc>
          <w:tcPr>
            <w:tcW w:w="7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效益：市妇联系统通过开展25个项目，服务于妇女儿童事业，引导、树立良好家教家风的传承，为广大妇女儿童提供更多服务，加强基层组织服务妇女群众的能力，维护妇女儿童合法权益，为北京市城镇妇女创业就业提供条件，保持与社会各界妇女的联系，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6"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绩效指标六</w:t>
            </w:r>
          </w:p>
        </w:tc>
        <w:tc>
          <w:tcPr>
            <w:tcW w:w="7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可持续影响效益：倡导家庭文明促进社会和谐，提升为妇女儿童服务和基层服务水平，提升全市妇女儿童能力素质，保障妇女儿童合法权益，加强与社会各界的联系，推动学习型、服务型、创新型妇女事业的发展，促进了男女平等的社会新风貌。</w:t>
            </w:r>
          </w:p>
        </w:tc>
      </w:tr>
    </w:tbl>
    <w:p>
      <w:pPr>
        <w:ind w:firstLine="640"/>
        <w:rPr>
          <w:rFonts w:hint="eastAsia" w:ascii="仿宋_GB2312" w:hAnsi="仿宋_GB2312" w:eastAsia="仿宋_GB2312" w:cs="仿宋_GB2312"/>
          <w:sz w:val="22"/>
          <w:szCs w:val="2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150"/>
        <w:jc w:val="both"/>
        <w:rPr>
          <w:rFonts w:hint="eastAsia" w:ascii="仿宋_GB2312" w:hAnsi="Arial Unicode MS" w:eastAsia="仿宋_GB2312" w:cs="仿宋_GB2312"/>
          <w:snapToGrid w:val="0"/>
          <w:kern w:val="0"/>
          <w:sz w:val="32"/>
          <w:szCs w:val="32"/>
          <w:lang w:val="en-US" w:eastAsia="zh-CN" w:bidi="ar"/>
        </w:rPr>
      </w:pPr>
      <w:r>
        <w:rPr>
          <w:rFonts w:hint="eastAsia" w:ascii="仿宋_GB2312" w:hAnsi="Arial Unicode MS" w:eastAsia="仿宋_GB2312" w:cs="仿宋_GB2312"/>
          <w:snapToGrid w:val="0"/>
          <w:kern w:val="0"/>
          <w:sz w:val="32"/>
          <w:szCs w:val="32"/>
          <w:lang w:val="en-US" w:eastAsia="zh-CN" w:bidi="ar"/>
        </w:rPr>
        <w:t>市妇联在设置2021年部门绩效目标指标时，结合了部门职责任务和资金量等因素，兼顾项目必要性和可行性，从数量、质量、支出进度、成本、社会效益、可持续影响效益等几个方面来设置，目标合理可衡量。</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2021年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9344.16</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5357.12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3891.95</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95.09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8365.96</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89.53%，</w:t>
      </w:r>
      <w:r>
        <w:rPr>
          <w:rFonts w:ascii="仿宋_GB2312" w:hAnsi="宋体" w:eastAsia="仿宋_GB2312" w:cs="宋体"/>
          <w:color w:val="000000"/>
          <w:kern w:val="0"/>
          <w:sz w:val="32"/>
          <w:szCs w:val="32"/>
        </w:rPr>
        <w:t>其中基本支出</w:t>
      </w:r>
      <w:r>
        <w:rPr>
          <w:rFonts w:hint="eastAsia" w:ascii="仿宋_GB2312" w:hAnsi="宋体" w:eastAsia="仿宋_GB2312" w:cs="宋体"/>
          <w:color w:val="000000"/>
          <w:kern w:val="0"/>
          <w:sz w:val="32"/>
          <w:szCs w:val="32"/>
          <w:lang w:val="en-US" w:eastAsia="zh-CN"/>
        </w:rPr>
        <w:t>5218.35</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3052.52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其他支出</w:t>
      </w:r>
      <w:r>
        <w:rPr>
          <w:rFonts w:hint="eastAsia" w:ascii="仿宋_GB2312" w:hAnsi="宋体" w:eastAsia="仿宋_GB2312" w:cs="宋体"/>
          <w:color w:val="000000"/>
          <w:kern w:val="0"/>
          <w:sz w:val="32"/>
          <w:szCs w:val="32"/>
          <w:lang w:val="en-US" w:eastAsia="zh-CN"/>
        </w:rPr>
        <w:t>95.09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p>
    <w:p>
      <w:pPr>
        <w:keepNext w:val="0"/>
        <w:keepLines w:val="0"/>
        <w:pageBreakBefore w:val="0"/>
        <w:kinsoku/>
        <w:wordWrap/>
        <w:overflowPunct/>
        <w:topLinePunct w:val="0"/>
        <w:autoSpaceDE/>
        <w:autoSpaceDN/>
        <w:bidi w:val="0"/>
        <w:spacing w:line="56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keepNext w:val="0"/>
        <w:keepLines w:val="0"/>
        <w:pageBreakBefore w:val="0"/>
        <w:kinsoku/>
        <w:wordWrap/>
        <w:overflowPunct/>
        <w:topLinePunct w:val="0"/>
        <w:autoSpaceDE/>
        <w:autoSpaceDN/>
        <w:bidi w:val="0"/>
        <w:spacing w:line="56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（一）产出完成情况分析</w:t>
      </w:r>
    </w:p>
    <w:p>
      <w:pPr>
        <w:pStyle w:val="5"/>
        <w:rPr>
          <w:rFonts w:hint="default" w:ascii="仿宋_GB2312" w:hAnsi="宋体" w:eastAsia="仿宋_GB2312" w:cs="Times New Roman"/>
          <w:kern w:val="2"/>
          <w:sz w:val="32"/>
          <w:szCs w:val="32"/>
          <w:lang w:val="en-US" w:eastAsia="zh-CN" w:bidi="ar-SA"/>
        </w:rPr>
      </w:pPr>
      <w:r>
        <w:rPr>
          <w:rFonts w:hint="eastAsia" w:ascii="楷体_GB2312" w:eastAsia="楷体_GB2312"/>
          <w:sz w:val="32"/>
          <w:szCs w:val="32"/>
          <w:lang w:val="en-US" w:eastAsia="zh-CN"/>
        </w:rPr>
        <w:t xml:space="preserve">    </w:t>
      </w:r>
      <w:r>
        <w:rPr>
          <w:rFonts w:hint="eastAsia" w:ascii="仿宋_GB2312" w:hAnsi="宋体" w:eastAsia="仿宋_GB2312" w:cs="Times New Roman"/>
          <w:kern w:val="2"/>
          <w:sz w:val="32"/>
          <w:szCs w:val="32"/>
          <w:lang w:val="en-US" w:eastAsia="zh-CN" w:bidi="ar-SA"/>
        </w:rPr>
        <w:t>2021年共完成25个一级财政专项，包括24个年初下达项目和1个年末追加项目。</w:t>
      </w:r>
    </w:p>
    <w:p>
      <w:pPr>
        <w:keepNext w:val="0"/>
        <w:keepLines w:val="0"/>
        <w:pageBreakBefore w:val="0"/>
        <w:kinsoku/>
        <w:wordWrap/>
        <w:overflowPunct/>
        <w:topLinePunct w:val="0"/>
        <w:autoSpaceDE/>
        <w:autoSpaceDN/>
        <w:bidi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1.产出数量</w:t>
      </w:r>
    </w:p>
    <w:p>
      <w:pPr>
        <w:keepNext w:val="0"/>
        <w:keepLines w:val="0"/>
        <w:pageBreakBefore w:val="0"/>
        <w:kinsoku/>
        <w:wordWrap/>
        <w:overflowPunct/>
        <w:topLinePunct w:val="0"/>
        <w:autoSpaceDE/>
        <w:autoSpaceDN/>
        <w:bidi w:val="0"/>
        <w:spacing w:line="560" w:lineRule="exact"/>
        <w:rPr>
          <w:rFonts w:hint="default" w:ascii="仿宋_GB2312" w:hAnsi="宋体" w:eastAsia="仿宋_GB2312"/>
          <w:sz w:val="32"/>
          <w:szCs w:val="32"/>
          <w:lang w:val="en-US" w:eastAsia="zh-CN"/>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（1）完成</w:t>
      </w:r>
      <w:r>
        <w:rPr>
          <w:rFonts w:hint="eastAsia" w:ascii="仿宋_GB2312" w:hAnsi="宋体" w:eastAsia="仿宋_GB2312"/>
          <w:sz w:val="32"/>
          <w:szCs w:val="32"/>
          <w:lang w:eastAsia="zh-CN"/>
        </w:rPr>
        <w:t>妇女儿童领域</w:t>
      </w:r>
      <w:r>
        <w:rPr>
          <w:rFonts w:hint="eastAsia" w:ascii="仿宋_GB2312" w:hAnsi="宋体" w:eastAsia="仿宋_GB2312"/>
          <w:sz w:val="32"/>
          <w:szCs w:val="32"/>
        </w:rPr>
        <w:t>方面的重</w:t>
      </w:r>
      <w:r>
        <w:rPr>
          <w:rFonts w:hint="eastAsia" w:ascii="仿宋_GB2312" w:hAnsi="宋体" w:eastAsia="仿宋_GB2312"/>
          <w:sz w:val="32"/>
          <w:szCs w:val="32"/>
          <w:lang w:eastAsia="zh-CN"/>
        </w:rPr>
        <w:t>点</w:t>
      </w:r>
      <w:r>
        <w:rPr>
          <w:rFonts w:hint="eastAsia" w:ascii="仿宋_GB2312" w:hAnsi="宋体" w:eastAsia="仿宋_GB2312"/>
          <w:sz w:val="32"/>
          <w:szCs w:val="32"/>
        </w:rPr>
        <w:t>课题</w:t>
      </w:r>
      <w:r>
        <w:rPr>
          <w:rFonts w:hint="eastAsia" w:ascii="仿宋_GB2312" w:hAnsi="宋体" w:eastAsia="仿宋_GB2312"/>
          <w:sz w:val="32"/>
          <w:szCs w:val="32"/>
          <w:lang w:val="en-US" w:eastAsia="zh-CN"/>
        </w:rPr>
        <w:t>4</w:t>
      </w:r>
      <w:r>
        <w:rPr>
          <w:rFonts w:hint="eastAsia" w:ascii="仿宋_GB2312" w:hAnsi="宋体" w:eastAsia="仿宋_GB2312"/>
          <w:sz w:val="32"/>
          <w:szCs w:val="32"/>
        </w:rPr>
        <w:t>项</w:t>
      </w:r>
      <w:r>
        <w:rPr>
          <w:rFonts w:hint="eastAsia" w:ascii="仿宋_GB2312" w:hAnsi="宋体" w:eastAsia="仿宋_GB2312"/>
          <w:sz w:val="32"/>
          <w:szCs w:val="32"/>
          <w:lang w:eastAsia="zh-CN"/>
        </w:rPr>
        <w:t>、一般课题</w:t>
      </w:r>
      <w:r>
        <w:rPr>
          <w:rFonts w:hint="eastAsia" w:ascii="仿宋_GB2312" w:hAnsi="宋体" w:eastAsia="仿宋_GB2312"/>
          <w:sz w:val="32"/>
          <w:szCs w:val="32"/>
          <w:lang w:val="en-US" w:eastAsia="zh-CN"/>
        </w:rPr>
        <w:t>4项。</w:t>
      </w:r>
    </w:p>
    <w:p>
      <w:pPr>
        <w:pStyle w:val="5"/>
        <w:keepNext w:val="0"/>
        <w:keepLines w:val="0"/>
        <w:pageBreakBefore w:val="0"/>
        <w:kinsoku/>
        <w:wordWrap/>
        <w:overflowPunct/>
        <w:topLinePunct w:val="0"/>
        <w:autoSpaceDE/>
        <w:autoSpaceDN/>
        <w:bidi w:val="0"/>
        <w:spacing w:line="560" w:lineRule="exact"/>
        <w:rPr>
          <w:rFonts w:hint="default" w:eastAsia="仿宋_GB2312"/>
          <w:lang w:val="en-US" w:eastAsia="zh-CN"/>
        </w:rPr>
      </w:pPr>
      <w:r>
        <w:rPr>
          <w:rFonts w:hint="eastAsia" w:ascii="仿宋_GB2312" w:hAnsi="宋体" w:eastAsia="仿宋_GB2312"/>
          <w:sz w:val="32"/>
          <w:szCs w:val="32"/>
          <w:lang w:val="en-US" w:eastAsia="zh-CN"/>
        </w:rPr>
        <w:t xml:space="preserve">   </w:t>
      </w:r>
    </w:p>
    <w:tbl>
      <w:tblPr>
        <w:tblStyle w:val="11"/>
        <w:tblW w:w="8519" w:type="dxa"/>
        <w:tblInd w:w="0" w:type="dxa"/>
        <w:tblLayout w:type="fixed"/>
        <w:tblCellMar>
          <w:top w:w="0" w:type="dxa"/>
          <w:left w:w="108" w:type="dxa"/>
          <w:bottom w:w="0" w:type="dxa"/>
          <w:right w:w="108" w:type="dxa"/>
        </w:tblCellMar>
      </w:tblPr>
      <w:tblGrid>
        <w:gridCol w:w="696"/>
        <w:gridCol w:w="2513"/>
        <w:gridCol w:w="5310"/>
      </w:tblGrid>
      <w:tr>
        <w:tblPrEx>
          <w:tblLayout w:type="fixed"/>
          <w:tblCellMar>
            <w:top w:w="0" w:type="dxa"/>
            <w:left w:w="108" w:type="dxa"/>
            <w:bottom w:w="0" w:type="dxa"/>
            <w:right w:w="108" w:type="dxa"/>
          </w:tblCellMar>
        </w:tblPrEx>
        <w:trPr>
          <w:trHeight w:val="1040"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编号</w:t>
            </w:r>
          </w:p>
        </w:tc>
        <w:tc>
          <w:tcPr>
            <w:tcW w:w="25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课题项目</w:t>
            </w:r>
          </w:p>
        </w:tc>
        <w:tc>
          <w:tcPr>
            <w:tcW w:w="53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课题名称</w:t>
            </w:r>
          </w:p>
        </w:tc>
      </w:tr>
      <w:tr>
        <w:tblPrEx>
          <w:tblLayout w:type="fixed"/>
          <w:tblCellMar>
            <w:top w:w="0" w:type="dxa"/>
            <w:left w:w="108" w:type="dxa"/>
            <w:bottom w:w="0" w:type="dxa"/>
            <w:right w:w="108" w:type="dxa"/>
          </w:tblCellMar>
        </w:tblPrEx>
        <w:trPr>
          <w:trHeight w:val="90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1</w:t>
            </w:r>
          </w:p>
        </w:tc>
        <w:tc>
          <w:tcPr>
            <w:tcW w:w="2513"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lang w:eastAsia="zh-CN"/>
              </w:rPr>
              <w:t>重点</w:t>
            </w:r>
            <w:r>
              <w:rPr>
                <w:rFonts w:hint="eastAsia" w:ascii="仿宋_GB2312" w:hAnsi="宋体" w:eastAsia="仿宋_GB2312"/>
                <w:sz w:val="22"/>
                <w:szCs w:val="22"/>
              </w:rPr>
              <w:t>课题</w:t>
            </w:r>
          </w:p>
        </w:tc>
        <w:tc>
          <w:tcPr>
            <w:tcW w:w="531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eastAsia="zh-CN"/>
              </w:rPr>
            </w:pPr>
            <w:r>
              <w:rPr>
                <w:rFonts w:hint="eastAsia" w:ascii="仿宋_GB2312" w:hAnsi="宋体" w:eastAsia="仿宋_GB2312"/>
                <w:sz w:val="22"/>
                <w:szCs w:val="22"/>
                <w:lang w:eastAsia="zh-CN"/>
              </w:rPr>
              <w:t>基于儿童友好城市建设的北京市儿童现状与需求调研评估</w:t>
            </w:r>
          </w:p>
        </w:tc>
      </w:tr>
      <w:tr>
        <w:tblPrEx>
          <w:tblLayout w:type="fixed"/>
          <w:tblCellMar>
            <w:top w:w="0" w:type="dxa"/>
            <w:left w:w="108" w:type="dxa"/>
            <w:bottom w:w="0" w:type="dxa"/>
            <w:right w:w="108" w:type="dxa"/>
          </w:tblCellMar>
        </w:tblPrEx>
        <w:trPr>
          <w:trHeight w:val="809"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2</w:t>
            </w:r>
          </w:p>
        </w:tc>
        <w:tc>
          <w:tcPr>
            <w:tcW w:w="2513"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eastAsia="zh-CN"/>
              </w:rPr>
            </w:pPr>
            <w:r>
              <w:rPr>
                <w:rFonts w:hint="eastAsia" w:ascii="仿宋_GB2312" w:hAnsi="宋体" w:eastAsia="仿宋_GB2312"/>
                <w:sz w:val="22"/>
                <w:szCs w:val="22"/>
                <w:lang w:eastAsia="zh-CN"/>
              </w:rPr>
              <w:t>重点</w:t>
            </w:r>
            <w:r>
              <w:rPr>
                <w:rFonts w:hint="eastAsia" w:ascii="仿宋_GB2312" w:hAnsi="宋体" w:eastAsia="仿宋_GB2312"/>
                <w:sz w:val="22"/>
                <w:szCs w:val="22"/>
              </w:rPr>
              <w:t>课题</w:t>
            </w:r>
          </w:p>
        </w:tc>
        <w:tc>
          <w:tcPr>
            <w:tcW w:w="531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eastAsia="zh-CN"/>
              </w:rPr>
              <w:t>家庭教育立法调研</w:t>
            </w:r>
          </w:p>
        </w:tc>
      </w:tr>
      <w:tr>
        <w:tblPrEx>
          <w:tblLayout w:type="fixed"/>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3</w:t>
            </w:r>
          </w:p>
        </w:tc>
        <w:tc>
          <w:tcPr>
            <w:tcW w:w="2513"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eastAsia="zh-CN"/>
              </w:rPr>
            </w:pPr>
            <w:r>
              <w:rPr>
                <w:rFonts w:hint="eastAsia" w:ascii="仿宋_GB2312" w:hAnsi="宋体" w:eastAsia="仿宋_GB2312"/>
                <w:sz w:val="22"/>
                <w:szCs w:val="22"/>
                <w:lang w:eastAsia="zh-CN"/>
              </w:rPr>
              <w:t>重点</w:t>
            </w:r>
            <w:r>
              <w:rPr>
                <w:rFonts w:hint="eastAsia" w:ascii="仿宋_GB2312" w:hAnsi="宋体" w:eastAsia="仿宋_GB2312"/>
                <w:sz w:val="22"/>
                <w:szCs w:val="22"/>
              </w:rPr>
              <w:t>课题</w:t>
            </w:r>
          </w:p>
        </w:tc>
        <w:tc>
          <w:tcPr>
            <w:tcW w:w="531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eastAsia="zh-CN"/>
              </w:rPr>
              <w:t>妇女及家庭需求调研</w:t>
            </w:r>
          </w:p>
        </w:tc>
      </w:tr>
      <w:tr>
        <w:tblPrEx>
          <w:tblLayout w:type="fixed"/>
          <w:tblCellMar>
            <w:top w:w="0" w:type="dxa"/>
            <w:left w:w="108" w:type="dxa"/>
            <w:bottom w:w="0" w:type="dxa"/>
            <w:right w:w="108" w:type="dxa"/>
          </w:tblCellMar>
        </w:tblPrEx>
        <w:trPr>
          <w:trHeight w:val="104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4</w:t>
            </w:r>
          </w:p>
        </w:tc>
        <w:tc>
          <w:tcPr>
            <w:tcW w:w="2513"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eastAsia="zh-CN"/>
              </w:rPr>
            </w:pPr>
            <w:r>
              <w:rPr>
                <w:rFonts w:hint="eastAsia" w:ascii="仿宋_GB2312" w:hAnsi="宋体" w:eastAsia="仿宋_GB2312"/>
                <w:sz w:val="22"/>
                <w:szCs w:val="22"/>
                <w:lang w:eastAsia="zh-CN"/>
              </w:rPr>
              <w:t>重点</w:t>
            </w:r>
            <w:r>
              <w:rPr>
                <w:rFonts w:hint="eastAsia" w:ascii="仿宋_GB2312" w:hAnsi="宋体" w:eastAsia="仿宋_GB2312"/>
                <w:sz w:val="22"/>
                <w:szCs w:val="22"/>
              </w:rPr>
              <w:t>课题</w:t>
            </w:r>
          </w:p>
        </w:tc>
        <w:tc>
          <w:tcPr>
            <w:tcW w:w="531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eastAsia="zh-CN"/>
              </w:rPr>
              <w:t>年轻母亲减负问题调研</w:t>
            </w:r>
          </w:p>
        </w:tc>
      </w:tr>
      <w:tr>
        <w:tblPrEx>
          <w:tblLayout w:type="fixed"/>
          <w:tblCellMar>
            <w:top w:w="0" w:type="dxa"/>
            <w:left w:w="108" w:type="dxa"/>
            <w:bottom w:w="0" w:type="dxa"/>
            <w:right w:w="108" w:type="dxa"/>
          </w:tblCellMar>
        </w:tblPrEx>
        <w:trPr>
          <w:trHeight w:val="104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5</w:t>
            </w:r>
          </w:p>
        </w:tc>
        <w:tc>
          <w:tcPr>
            <w:tcW w:w="2513"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一般课题</w:t>
            </w:r>
          </w:p>
        </w:tc>
        <w:tc>
          <w:tcPr>
            <w:tcW w:w="531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0" w:firstLineChars="0"/>
              <w:jc w:val="center"/>
              <w:rPr>
                <w:rFonts w:hint="eastAsia"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聚焦办好惠民实事，深化机关党建引领的研究</w:t>
            </w:r>
          </w:p>
        </w:tc>
      </w:tr>
      <w:tr>
        <w:tblPrEx>
          <w:tblLayout w:type="fixed"/>
          <w:tblCellMar>
            <w:top w:w="0" w:type="dxa"/>
            <w:left w:w="108" w:type="dxa"/>
            <w:bottom w:w="0" w:type="dxa"/>
            <w:right w:w="108" w:type="dxa"/>
          </w:tblCellMar>
        </w:tblPrEx>
        <w:trPr>
          <w:trHeight w:val="104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6</w:t>
            </w:r>
          </w:p>
        </w:tc>
        <w:tc>
          <w:tcPr>
            <w:tcW w:w="2513"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一般课题</w:t>
            </w:r>
          </w:p>
        </w:tc>
        <w:tc>
          <w:tcPr>
            <w:tcW w:w="531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北京市妇联组织开展党领导下的妇女运动史研究工作有关情况报告</w:t>
            </w:r>
          </w:p>
        </w:tc>
      </w:tr>
      <w:tr>
        <w:tblPrEx>
          <w:tblLayout w:type="fixed"/>
          <w:tblCellMar>
            <w:top w:w="0" w:type="dxa"/>
            <w:left w:w="108" w:type="dxa"/>
            <w:bottom w:w="0" w:type="dxa"/>
            <w:right w:w="108" w:type="dxa"/>
          </w:tblCellMar>
        </w:tblPrEx>
        <w:trPr>
          <w:trHeight w:val="104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7</w:t>
            </w:r>
          </w:p>
        </w:tc>
        <w:tc>
          <w:tcPr>
            <w:tcW w:w="2513"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一般课题</w:t>
            </w:r>
          </w:p>
        </w:tc>
        <w:tc>
          <w:tcPr>
            <w:tcW w:w="531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北京市妇联关于宅基地制度改革试点工作的情况报告</w:t>
            </w:r>
          </w:p>
        </w:tc>
      </w:tr>
      <w:tr>
        <w:tblPrEx>
          <w:tblLayout w:type="fixed"/>
          <w:tblCellMar>
            <w:top w:w="0" w:type="dxa"/>
            <w:left w:w="108" w:type="dxa"/>
            <w:bottom w:w="0" w:type="dxa"/>
            <w:right w:w="108" w:type="dxa"/>
          </w:tblCellMar>
        </w:tblPrEx>
        <w:trPr>
          <w:trHeight w:val="104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8</w:t>
            </w:r>
          </w:p>
        </w:tc>
        <w:tc>
          <w:tcPr>
            <w:tcW w:w="2513"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一般课题</w:t>
            </w:r>
          </w:p>
        </w:tc>
        <w:tc>
          <w:tcPr>
            <w:tcW w:w="531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十三五时期妇女儿童发展规划实施情况研究</w:t>
            </w:r>
          </w:p>
        </w:tc>
      </w:tr>
    </w:tbl>
    <w:p>
      <w:pPr>
        <w:pStyle w:val="5"/>
        <w:keepNext w:val="0"/>
        <w:keepLines w:val="0"/>
        <w:pageBreakBefore w:val="0"/>
        <w:kinsoku/>
        <w:wordWrap/>
        <w:overflowPunct/>
        <w:topLinePunct w:val="0"/>
        <w:autoSpaceDE/>
        <w:autoSpaceDN/>
        <w:bidi w:val="0"/>
        <w:spacing w:line="560" w:lineRule="exact"/>
        <w:rPr>
          <w:rFonts w:hint="default" w:eastAsia="仿宋_GB2312"/>
          <w:lang w:val="en-US" w:eastAsia="zh-CN"/>
        </w:rPr>
      </w:pPr>
    </w:p>
    <w:p>
      <w:pPr>
        <w:keepNext w:val="0"/>
        <w:keepLines w:val="0"/>
        <w:pageBreakBefore w:val="0"/>
        <w:numPr>
          <w:ilvl w:val="0"/>
          <w:numId w:val="0"/>
        </w:numPr>
        <w:kinsoku/>
        <w:wordWrap/>
        <w:overflowPunct/>
        <w:topLinePunct w:val="0"/>
        <w:autoSpaceDE/>
        <w:autoSpaceDN/>
        <w:bidi w:val="0"/>
        <w:spacing w:line="560" w:lineRule="exact"/>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围绕</w:t>
      </w:r>
      <w:r>
        <w:rPr>
          <w:rFonts w:hint="eastAsia" w:ascii="仿宋_GB2312" w:hAnsi="宋体" w:eastAsia="仿宋_GB2312"/>
          <w:sz w:val="32"/>
          <w:szCs w:val="32"/>
          <w:lang w:eastAsia="zh-CN"/>
        </w:rPr>
        <w:t>妇女儿童发展工作</w:t>
      </w:r>
      <w:r>
        <w:rPr>
          <w:rFonts w:hint="eastAsia" w:ascii="仿宋_GB2312" w:hAnsi="宋体" w:eastAsia="仿宋_GB2312"/>
          <w:sz w:val="32"/>
          <w:szCs w:val="32"/>
        </w:rPr>
        <w:t>，开展专题培训</w:t>
      </w:r>
      <w:r>
        <w:rPr>
          <w:rFonts w:hint="eastAsia" w:ascii="仿宋_GB2312" w:hAnsi="宋体" w:eastAsia="仿宋_GB2312"/>
          <w:sz w:val="32"/>
          <w:szCs w:val="32"/>
          <w:lang w:val="en-US" w:eastAsia="zh-CN"/>
        </w:rPr>
        <w:t>1</w:t>
      </w:r>
      <w:r>
        <w:rPr>
          <w:rFonts w:hint="eastAsia" w:ascii="仿宋_GB2312" w:hAnsi="宋体" w:eastAsia="仿宋_GB2312"/>
          <w:sz w:val="32"/>
          <w:szCs w:val="32"/>
        </w:rPr>
        <w:t>次</w:t>
      </w:r>
      <w:r>
        <w:rPr>
          <w:rFonts w:hint="eastAsia" w:ascii="仿宋_GB2312" w:hAnsi="宋体" w:eastAsia="仿宋_GB2312"/>
          <w:sz w:val="32"/>
          <w:szCs w:val="32"/>
          <w:lang w:eastAsia="zh-CN"/>
        </w:rPr>
        <w:t>，</w:t>
      </w:r>
      <w:r>
        <w:rPr>
          <w:rFonts w:hint="eastAsia" w:ascii="仿宋_GB2312" w:hAnsi="宋体" w:eastAsia="仿宋_GB2312"/>
          <w:sz w:val="32"/>
          <w:szCs w:val="32"/>
        </w:rPr>
        <w:t>组织各类研讨座谈会</w:t>
      </w:r>
      <w:r>
        <w:rPr>
          <w:rFonts w:hint="eastAsia" w:ascii="仿宋_GB2312" w:hAnsi="宋体" w:eastAsia="仿宋_GB2312"/>
          <w:sz w:val="32"/>
          <w:szCs w:val="32"/>
          <w:lang w:val="en-US" w:eastAsia="zh-CN"/>
        </w:rPr>
        <w:t>6</w:t>
      </w:r>
      <w:r>
        <w:rPr>
          <w:rFonts w:hint="eastAsia" w:ascii="仿宋_GB2312" w:hAnsi="宋体" w:eastAsia="仿宋_GB2312"/>
          <w:sz w:val="32"/>
          <w:szCs w:val="32"/>
        </w:rPr>
        <w:t>次。</w:t>
      </w:r>
    </w:p>
    <w:p>
      <w:pPr>
        <w:pStyle w:val="5"/>
        <w:keepNext w:val="0"/>
        <w:keepLines w:val="0"/>
        <w:pageBreakBefore w:val="0"/>
        <w:numPr>
          <w:ilvl w:val="0"/>
          <w:numId w:val="0"/>
        </w:numPr>
        <w:kinsoku/>
        <w:wordWrap/>
        <w:overflowPunct/>
        <w:topLinePunct w:val="0"/>
        <w:autoSpaceDE/>
        <w:autoSpaceDN/>
        <w:bidi w:val="0"/>
        <w:spacing w:line="560" w:lineRule="exact"/>
        <w:ind w:left="320" w:leftChars="0"/>
        <w:rPr>
          <w:rFonts w:hint="eastAsia"/>
        </w:rPr>
      </w:pPr>
    </w:p>
    <w:tbl>
      <w:tblPr>
        <w:tblStyle w:val="11"/>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4238"/>
        <w:gridCol w:w="3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5"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4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会议名称</w:t>
            </w:r>
          </w:p>
        </w:tc>
        <w:tc>
          <w:tcPr>
            <w:tcW w:w="3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会议内容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2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黑体" w:hAnsi="宋体" w:eastAsia="黑体" w:cs="黑体"/>
                <w:i w:val="0"/>
                <w:color w:val="000000"/>
                <w:sz w:val="24"/>
                <w:szCs w:val="24"/>
                <w:u w:val="none"/>
              </w:rPr>
            </w:pPr>
          </w:p>
        </w:tc>
        <w:tc>
          <w:tcPr>
            <w:tcW w:w="42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黑体" w:hAnsi="宋体" w:eastAsia="黑体" w:cs="黑体"/>
                <w:i w:val="0"/>
                <w:color w:val="000000"/>
                <w:sz w:val="24"/>
                <w:szCs w:val="24"/>
                <w:u w:val="none"/>
              </w:rPr>
            </w:pPr>
          </w:p>
        </w:tc>
        <w:tc>
          <w:tcPr>
            <w:tcW w:w="3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市妇联对口援建培训班</w:t>
            </w:r>
          </w:p>
        </w:tc>
        <w:tc>
          <w:tcPr>
            <w:tcW w:w="346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left"/>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面向来自新疆生产建设兵团十四师等地有创业就业带动能力的70名妇女，培训实用技能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社会组织试点单位妇女组织成立大会</w:t>
            </w:r>
          </w:p>
        </w:tc>
        <w:tc>
          <w:tcPr>
            <w:tcW w:w="34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6各试点单位成立妇女组织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妇女法学会第四届理事大会及第四届第一次常务会议</w:t>
            </w:r>
          </w:p>
        </w:tc>
        <w:tc>
          <w:tcPr>
            <w:tcW w:w="346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left"/>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换届、研究工作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3"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国家两纲重点指标任务落实工作推进会</w:t>
            </w:r>
          </w:p>
        </w:tc>
        <w:tc>
          <w:tcPr>
            <w:tcW w:w="34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市卫生健康委介绍2020年婚检率情况，就如何完成两纲收官任务进行研讨。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儿童友好城市建设调研课题专家座谈会</w:t>
            </w:r>
          </w:p>
        </w:tc>
        <w:tc>
          <w:tcPr>
            <w:tcW w:w="34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研究“儿童友好型城市”工作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3"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妇儿规划指标统计座谈会</w:t>
            </w:r>
          </w:p>
        </w:tc>
        <w:tc>
          <w:tcPr>
            <w:tcW w:w="34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十三五”规划终期评估及迎接筹备工作、分性别统计，“十四五”规划指标初步研究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5"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“十三五”规划评估报告征求意见座谈会</w:t>
            </w:r>
          </w:p>
        </w:tc>
        <w:tc>
          <w:tcPr>
            <w:tcW w:w="34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听取主要委办局对“十三五”规划评估报告的意见和建议</w:t>
            </w:r>
          </w:p>
        </w:tc>
      </w:tr>
    </w:tbl>
    <w:p>
      <w:pPr>
        <w:keepNext w:val="0"/>
        <w:keepLines w:val="0"/>
        <w:pageBreakBefore w:val="0"/>
        <w:kinsoku/>
        <w:wordWrap/>
        <w:overflowPunct/>
        <w:topLinePunct w:val="0"/>
        <w:autoSpaceDE/>
        <w:autoSpaceDN/>
        <w:bidi w:val="0"/>
        <w:adjustRightInd/>
        <w:spacing w:line="560" w:lineRule="exact"/>
        <w:rPr>
          <w:rStyle w:val="14"/>
          <w:rFonts w:hint="default" w:ascii="仿宋_GB2312" w:hAnsi="仿宋_GB2312" w:eastAsia="仿宋_GB2312"/>
          <w:color w:val="000000" w:themeColor="text1"/>
          <w:sz w:val="32"/>
          <w:szCs w:val="32"/>
          <w:lang w:val="en-US" w:eastAsia="zh-CN"/>
          <w14:textFill>
            <w14:solidFill>
              <w14:schemeClr w14:val="tx1"/>
            </w14:solidFill>
          </w14:textFill>
        </w:rPr>
      </w:pPr>
      <w:r>
        <w:rPr>
          <w:rStyle w:val="14"/>
          <w:rFonts w:hint="eastAsia" w:ascii="仿宋_GB2312" w:hAnsi="仿宋_GB2312" w:eastAsia="仿宋_GB2312"/>
          <w:color w:val="000000" w:themeColor="text1"/>
          <w:sz w:val="32"/>
          <w:szCs w:val="32"/>
          <w:lang w:val="en-US" w:eastAsia="zh-CN"/>
          <w14:textFill>
            <w14:solidFill>
              <w14:schemeClr w14:val="tx1"/>
            </w14:solidFill>
          </w14:textFill>
        </w:rPr>
        <w:t xml:space="preserve">  </w:t>
      </w:r>
      <w:r>
        <w:rPr>
          <w:rStyle w:val="14"/>
          <w:rFonts w:hint="eastAsia" w:ascii="仿宋_GB2312" w:hAnsi="仿宋_GB2312" w:eastAsia="仿宋_GB2312"/>
          <w:color w:val="000000" w:themeColor="text1"/>
          <w:sz w:val="32"/>
          <w:szCs w:val="32"/>
          <w14:textFill>
            <w14:solidFill>
              <w14:schemeClr w14:val="tx1"/>
            </w14:solidFill>
          </w14:textFill>
        </w:rPr>
        <w:t>（3）</w:t>
      </w:r>
      <w:r>
        <w:rPr>
          <w:rStyle w:val="14"/>
          <w:rFonts w:hint="eastAsia" w:ascii="仿宋_GB2312" w:hAnsi="仿宋_GB2312" w:eastAsia="仿宋_GB2312"/>
          <w:color w:val="000000" w:themeColor="text1"/>
          <w:sz w:val="32"/>
          <w:szCs w:val="32"/>
          <w:lang w:eastAsia="zh-CN"/>
          <w14:textFill>
            <w14:solidFill>
              <w14:schemeClr w14:val="tx1"/>
            </w14:solidFill>
          </w14:textFill>
        </w:rPr>
        <w:t>履行好引领服务联系的职责使命,以首善标准团结带领广大妇女在推动首都高质量发展中发挥“半边天”作用。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4"/>
          <w:rFonts w:ascii="仿宋_GB2312" w:hAnsi="永中宋体" w:eastAsia="仿宋_GB2312" w:cs="Times New Roman"/>
          <w:b w:val="0"/>
          <w:bCs w:val="0"/>
          <w:color w:val="000000" w:themeColor="text1"/>
          <w:sz w:val="32"/>
          <w:szCs w:val="32"/>
          <w14:textFill>
            <w14:solidFill>
              <w14:schemeClr w14:val="tx1"/>
            </w14:solidFill>
          </w14:textFill>
        </w:rPr>
      </w:pPr>
      <w:r>
        <w:rPr>
          <w:rStyle w:val="14"/>
          <w:rFonts w:hint="eastAsia" w:ascii="仿宋_GB2312" w:hAnsi="永中宋体" w:eastAsia="仿宋_GB2312"/>
          <w:b w:val="0"/>
          <w:bCs w:val="0"/>
          <w:color w:val="000000" w:themeColor="text1"/>
          <w:sz w:val="32"/>
          <w:szCs w:val="32"/>
          <w:lang w:val="en-US" w:eastAsia="zh-CN"/>
          <w14:textFill>
            <w14:solidFill>
              <w14:schemeClr w14:val="tx1"/>
            </w14:solidFill>
          </w14:textFill>
        </w:rPr>
        <w:t xml:space="preserve">    </w:t>
      </w:r>
      <w:r>
        <w:rPr>
          <w:rStyle w:val="14"/>
          <w:rFonts w:hint="eastAsia" w:ascii="仿宋_GB2312" w:hAnsi="永中宋体" w:eastAsia="仿宋_GB2312"/>
          <w:b w:val="0"/>
          <w:bCs w:val="0"/>
          <w:color w:val="000000" w:themeColor="text1"/>
          <w:sz w:val="32"/>
          <w:szCs w:val="32"/>
          <w:lang w:eastAsia="zh-CN"/>
          <w14:textFill>
            <w14:solidFill>
              <w14:schemeClr w14:val="tx1"/>
            </w14:solidFill>
          </w14:textFill>
        </w:rPr>
        <w:t>组织开展多场红色家风宣讲活动获得了良好的社会反响。</w:t>
      </w:r>
      <w:r>
        <w:rPr>
          <w:rStyle w:val="14"/>
          <w:rFonts w:ascii="仿宋_GB2312" w:hAnsi="仿宋_GB2312" w:eastAsia="仿宋_GB2312"/>
          <w:b w:val="0"/>
          <w:bCs w:val="0"/>
          <w:color w:val="000000" w:themeColor="text1"/>
          <w:sz w:val="32"/>
          <w:szCs w:val="32"/>
          <w14:textFill>
            <w14:solidFill>
              <w14:schemeClr w14:val="tx1"/>
            </w14:solidFill>
          </w14:textFill>
        </w:rPr>
        <w:t>做好新业态新就业群体工作，</w:t>
      </w:r>
      <w:r>
        <w:rPr>
          <w:rStyle w:val="14"/>
          <w:rFonts w:hint="eastAsia" w:ascii="仿宋_GB2312" w:hAnsi="仿宋_GB2312" w:eastAsia="仿宋_GB2312"/>
          <w:b w:val="0"/>
          <w:bCs w:val="0"/>
          <w:color w:val="000000" w:themeColor="text1"/>
          <w:sz w:val="32"/>
          <w:szCs w:val="32"/>
          <w14:textFill>
            <w14:solidFill>
              <w14:schemeClr w14:val="tx1"/>
            </w14:solidFill>
          </w14:textFill>
        </w:rPr>
        <w:t>制定关心关爱行动方案，明确12项具体任务。建立“驿姐”“驿家”微信群141个，覆盖新业态、新就业群体从业妇女1551人、新就业群体家庭中妇女11773人。做实关爱服务,成立新就业群体家庭成长“驿”站，梳理200余项家庭服务清单，实施“新就业群体关心关爱专场服务”计划，目前已服务4411户家庭，覆盖9699人次。</w:t>
      </w:r>
      <w:r>
        <w:rPr>
          <w:rStyle w:val="14"/>
          <w:rFonts w:ascii="仿宋_GB2312" w:eastAsia="仿宋_GB2312"/>
          <w:b w:val="0"/>
          <w:bCs w:val="0"/>
          <w:color w:val="000000" w:themeColor="text1"/>
          <w:sz w:val="32"/>
          <w:szCs w:val="32"/>
          <w14:textFill>
            <w14:solidFill>
              <w14:schemeClr w14:val="tx1"/>
            </w14:solidFill>
          </w14:textFill>
        </w:rPr>
        <w:t>推进儿童友好城市建设，联合规自委对全市2.6万名儿童家长开展调研</w:t>
      </w:r>
      <w:r>
        <w:rPr>
          <w:rStyle w:val="14"/>
          <w:rFonts w:ascii="仿宋_GB2312" w:hAnsi="仿宋_GB2312" w:eastAsia="仿宋_GB2312"/>
          <w:b w:val="0"/>
          <w:bCs w:val="0"/>
          <w:color w:val="000000" w:themeColor="text1"/>
          <w:sz w:val="32"/>
          <w:szCs w:val="32"/>
          <w14:textFill>
            <w14:solidFill>
              <w14:schemeClr w14:val="tx1"/>
            </w14:solidFill>
          </w14:textFill>
        </w:rPr>
        <w:t>形成评估专报，</w:t>
      </w:r>
      <w:r>
        <w:rPr>
          <w:rStyle w:val="14"/>
          <w:rFonts w:ascii="仿宋_GB2312" w:eastAsia="仿宋_GB2312"/>
          <w:b w:val="0"/>
          <w:bCs w:val="0"/>
          <w:color w:val="000000" w:themeColor="text1"/>
          <w:sz w:val="32"/>
          <w:szCs w:val="32"/>
          <w14:textFill>
            <w14:solidFill>
              <w14:schemeClr w14:val="tx1"/>
            </w14:solidFill>
          </w14:textFill>
        </w:rPr>
        <w:t>研究提出八方面工作建议。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eastAsia" w:ascii="仿宋_GB2312" w:eastAsia="仿宋_GB2312"/>
          <w:b w:val="0"/>
          <w:bCs w:val="0"/>
          <w:color w:val="000000" w:themeColor="text1"/>
          <w:sz w:val="32"/>
          <w:szCs w:val="32"/>
          <w14:textFill>
            <w14:solidFill>
              <w14:schemeClr w14:val="tx1"/>
            </w14:solidFill>
          </w14:textFill>
        </w:rPr>
      </w:pPr>
      <w:r>
        <w:rPr>
          <w:rStyle w:val="14"/>
          <w:rFonts w:hint="eastAsia" w:ascii="仿宋_GB2312" w:hAnsi="仿宋_GB2312" w:eastAsia="仿宋_GB2312"/>
          <w:b w:val="0"/>
          <w:bCs w:val="0"/>
          <w:color w:val="000000" w:themeColor="text1"/>
          <w:sz w:val="32"/>
          <w:szCs w:val="32"/>
          <w:lang w:eastAsia="zh-CN"/>
          <w14:textFill>
            <w14:solidFill>
              <w14:schemeClr w14:val="tx1"/>
            </w14:solidFill>
          </w14:textFill>
        </w:rPr>
        <w:t>以新“两纲”为导向，推进妇女儿童健康发展。</w:t>
      </w:r>
      <w:r>
        <w:rPr>
          <w:rStyle w:val="14"/>
          <w:rFonts w:hint="eastAsia" w:ascii="仿宋_GB2312" w:eastAsia="仿宋_GB2312"/>
          <w:b w:val="0"/>
          <w:bCs w:val="0"/>
          <w:color w:val="000000" w:themeColor="text1"/>
          <w:sz w:val="32"/>
          <w:szCs w:val="32"/>
          <w:lang w:eastAsia="zh-CN"/>
          <w14:textFill>
            <w14:solidFill>
              <w14:schemeClr w14:val="tx1"/>
            </w14:solidFill>
          </w14:textFill>
        </w:rPr>
        <w:t>高标准编制“十四五”妇女儿童发展规划。召开</w:t>
      </w:r>
      <w:r>
        <w:rPr>
          <w:rStyle w:val="14"/>
          <w:rFonts w:hint="eastAsia" w:ascii="仿宋_GB2312" w:eastAsia="仿宋_GB2312"/>
          <w:b w:val="0"/>
          <w:bCs w:val="0"/>
          <w:color w:val="000000" w:themeColor="text1"/>
          <w:sz w:val="32"/>
          <w:szCs w:val="32"/>
          <w:lang w:val="en-US" w:eastAsia="zh-CN"/>
          <w14:textFill>
            <w14:solidFill>
              <w14:schemeClr w14:val="tx1"/>
            </w14:solidFill>
          </w14:textFill>
        </w:rPr>
        <w:t>2021年度市妇女儿童工作委员会全体委员（扩大）会议审议规划文本，目前已</w:t>
      </w:r>
      <w:r>
        <w:rPr>
          <w:rStyle w:val="14"/>
          <w:rFonts w:hint="eastAsia" w:ascii="仿宋_GB2312" w:eastAsia="仿宋_GB2312"/>
          <w:b w:val="0"/>
          <w:bCs w:val="0"/>
          <w:color w:val="000000" w:themeColor="text1"/>
          <w:sz w:val="32"/>
          <w:szCs w:val="32"/>
          <w14:textFill>
            <w14:solidFill>
              <w14:schemeClr w14:val="tx1"/>
            </w14:solidFill>
          </w14:textFill>
        </w:rPr>
        <w:t>获得</w:t>
      </w:r>
      <w:r>
        <w:rPr>
          <w:rStyle w:val="14"/>
          <w:rFonts w:hint="eastAsia" w:ascii="仿宋_GB2312" w:eastAsia="仿宋_GB2312"/>
          <w:b w:val="0"/>
          <w:bCs w:val="0"/>
          <w:color w:val="000000" w:themeColor="text1"/>
          <w:sz w:val="32"/>
          <w:szCs w:val="32"/>
          <w:lang w:eastAsia="zh-CN"/>
          <w14:textFill>
            <w14:solidFill>
              <w14:schemeClr w14:val="tx1"/>
            </w14:solidFill>
          </w14:textFill>
        </w:rPr>
        <w:t>市政府</w:t>
      </w:r>
      <w:r>
        <w:rPr>
          <w:rStyle w:val="14"/>
          <w:rFonts w:hint="eastAsia" w:ascii="仿宋_GB2312" w:eastAsia="仿宋_GB2312"/>
          <w:b w:val="0"/>
          <w:bCs w:val="0"/>
          <w:color w:val="000000" w:themeColor="text1"/>
          <w:sz w:val="32"/>
          <w:szCs w:val="32"/>
          <w14:textFill>
            <w14:solidFill>
              <w14:schemeClr w14:val="tx1"/>
            </w14:solidFill>
          </w14:textFill>
        </w:rPr>
        <w:t>批准</w:t>
      </w:r>
      <w:r>
        <w:rPr>
          <w:rStyle w:val="14"/>
          <w:rFonts w:hint="eastAsia" w:ascii="仿宋_GB2312" w:eastAsia="仿宋_GB2312"/>
          <w:b w:val="0"/>
          <w:bCs w:val="0"/>
          <w:color w:val="000000" w:themeColor="text1"/>
          <w:sz w:val="32"/>
          <w:szCs w:val="32"/>
          <w:lang w:eastAsia="zh-CN"/>
          <w14:textFill>
            <w14:solidFill>
              <w14:schemeClr w14:val="tx1"/>
            </w14:solidFill>
          </w14:textFill>
        </w:rPr>
        <w:t>，即将以市政府名义</w:t>
      </w:r>
      <w:r>
        <w:rPr>
          <w:rStyle w:val="14"/>
          <w:rFonts w:hint="eastAsia" w:ascii="仿宋_GB2312" w:eastAsia="仿宋_GB2312"/>
          <w:b w:val="0"/>
          <w:bCs w:val="0"/>
          <w:color w:val="000000" w:themeColor="text1"/>
          <w:sz w:val="32"/>
          <w:szCs w:val="32"/>
          <w14:textFill>
            <w14:solidFill>
              <w14:schemeClr w14:val="tx1"/>
            </w14:solidFill>
          </w14:textFill>
        </w:rPr>
        <w:t>颁布实施。</w:t>
      </w:r>
      <w:r>
        <w:rPr>
          <w:rStyle w:val="14"/>
          <w:rFonts w:hint="eastAsia" w:ascii="仿宋_GB2312" w:eastAsia="仿宋_GB2312"/>
          <w:b w:val="0"/>
          <w:bCs w:val="0"/>
          <w:color w:val="000000" w:themeColor="text1"/>
          <w:sz w:val="32"/>
          <w:szCs w:val="32"/>
          <w:lang w:eastAsia="zh-CN"/>
          <w14:textFill>
            <w14:solidFill>
              <w14:schemeClr w14:val="tx1"/>
            </w14:solidFill>
          </w14:textFill>
        </w:rPr>
        <w:t>启动“绿芽行动”，加强调度和督导，以现场观摩、及时通报等方式，强力推进</w:t>
      </w:r>
      <w:r>
        <w:rPr>
          <w:rStyle w:val="14"/>
          <w:rFonts w:hint="eastAsia" w:ascii="仿宋_GB2312" w:eastAsia="仿宋_GB2312"/>
          <w:b w:val="0"/>
          <w:bCs w:val="0"/>
          <w:color w:val="000000" w:themeColor="text1"/>
          <w:sz w:val="32"/>
          <w:szCs w:val="32"/>
          <w14:textFill>
            <w14:solidFill>
              <w14:schemeClr w14:val="tx1"/>
            </w14:solidFill>
          </w14:textFill>
        </w:rPr>
        <w:t>婚检婚登“一站式”</w:t>
      </w:r>
      <w:r>
        <w:rPr>
          <w:rStyle w:val="14"/>
          <w:rFonts w:hint="eastAsia" w:ascii="仿宋_GB2312" w:eastAsia="仿宋_GB2312"/>
          <w:b w:val="0"/>
          <w:bCs w:val="0"/>
          <w:color w:val="000000" w:themeColor="text1"/>
          <w:sz w:val="32"/>
          <w:szCs w:val="32"/>
          <w:lang w:eastAsia="zh-CN"/>
          <w14:textFill>
            <w14:solidFill>
              <w14:schemeClr w14:val="tx1"/>
            </w14:solidFill>
          </w14:textFill>
        </w:rPr>
        <w:t>建设。</w:t>
      </w:r>
      <w:r>
        <w:rPr>
          <w:rStyle w:val="14"/>
          <w:rFonts w:hint="eastAsia" w:ascii="仿宋_GB2312" w:eastAsia="仿宋_GB2312"/>
          <w:b w:val="0"/>
          <w:bCs w:val="0"/>
          <w:color w:val="000000" w:themeColor="text1"/>
          <w:sz w:val="32"/>
          <w:szCs w:val="32"/>
          <w14:textFill>
            <w14:solidFill>
              <w14:schemeClr w14:val="tx1"/>
            </w14:solidFill>
          </w14:textFill>
        </w:rPr>
        <w:t>目前</w:t>
      </w:r>
      <w:r>
        <w:rPr>
          <w:rStyle w:val="14"/>
          <w:rFonts w:hint="eastAsia" w:ascii="仿宋_GB2312" w:eastAsia="仿宋_GB2312"/>
          <w:b w:val="0"/>
          <w:bCs w:val="0"/>
          <w:color w:val="000000" w:themeColor="text1"/>
          <w:sz w:val="32"/>
          <w:szCs w:val="32"/>
          <w:lang w:eastAsia="zh-CN"/>
          <w14:textFill>
            <w14:solidFill>
              <w14:schemeClr w14:val="tx1"/>
            </w14:solidFill>
          </w14:textFill>
        </w:rPr>
        <w:t>全市</w:t>
      </w:r>
      <w:r>
        <w:rPr>
          <w:rStyle w:val="14"/>
          <w:rFonts w:hint="eastAsia" w:ascii="仿宋_GB2312" w:eastAsia="仿宋_GB2312"/>
          <w:b w:val="0"/>
          <w:bCs w:val="0"/>
          <w:color w:val="000000" w:themeColor="text1"/>
          <w:sz w:val="32"/>
          <w:szCs w:val="32"/>
          <w14:textFill>
            <w14:solidFill>
              <w14:schemeClr w14:val="tx1"/>
            </w14:solidFill>
          </w14:textFill>
        </w:rPr>
        <w:t>已有14个区</w:t>
      </w:r>
      <w:r>
        <w:rPr>
          <w:rStyle w:val="14"/>
          <w:rFonts w:hint="eastAsia" w:ascii="仿宋_GB2312" w:eastAsia="仿宋_GB2312"/>
          <w:b w:val="0"/>
          <w:bCs w:val="0"/>
          <w:color w:val="000000" w:themeColor="text1"/>
          <w:sz w:val="32"/>
          <w:szCs w:val="32"/>
          <w:lang w:eastAsia="zh-CN"/>
          <w14:textFill>
            <w14:solidFill>
              <w14:schemeClr w14:val="tx1"/>
            </w14:solidFill>
          </w14:textFill>
        </w:rPr>
        <w:t>实现</w:t>
      </w:r>
      <w:r>
        <w:rPr>
          <w:rStyle w:val="14"/>
          <w:rFonts w:hint="eastAsia" w:ascii="仿宋_GB2312" w:eastAsia="仿宋_GB2312"/>
          <w:b w:val="0"/>
          <w:bCs w:val="0"/>
          <w:color w:val="000000" w:themeColor="text1"/>
          <w:sz w:val="32"/>
          <w:szCs w:val="32"/>
          <w14:textFill>
            <w14:solidFill>
              <w14:schemeClr w14:val="tx1"/>
            </w14:solidFill>
          </w14:textFill>
        </w:rPr>
        <w:t>婚检婚登“一站式”</w:t>
      </w:r>
      <w:r>
        <w:rPr>
          <w:rStyle w:val="14"/>
          <w:rFonts w:hint="eastAsia" w:ascii="仿宋_GB2312" w:eastAsia="仿宋_GB2312"/>
          <w:b w:val="0"/>
          <w:bCs w:val="0"/>
          <w:color w:val="000000" w:themeColor="text1"/>
          <w:sz w:val="32"/>
          <w:szCs w:val="32"/>
          <w:lang w:eastAsia="zh-CN"/>
          <w14:textFill>
            <w14:solidFill>
              <w14:schemeClr w14:val="tx1"/>
            </w14:solidFill>
          </w14:textFill>
        </w:rPr>
        <w:t>便民服务，</w:t>
      </w:r>
      <w:r>
        <w:rPr>
          <w:rStyle w:val="14"/>
          <w:rFonts w:hint="eastAsia" w:ascii="仿宋_GB2312" w:eastAsia="仿宋_GB2312"/>
          <w:b w:val="0"/>
          <w:bCs w:val="0"/>
          <w:color w:val="000000" w:themeColor="text1"/>
          <w:sz w:val="32"/>
          <w:szCs w:val="32"/>
          <w14:textFill>
            <w14:solidFill>
              <w14:schemeClr w14:val="tx1"/>
            </w14:solidFill>
          </w14:textFill>
        </w:rPr>
        <w:t>婚检率</w:t>
      </w:r>
      <w:r>
        <w:rPr>
          <w:rStyle w:val="14"/>
          <w:rFonts w:hint="eastAsia" w:ascii="仿宋_GB2312" w:eastAsia="仿宋_GB2312"/>
          <w:b w:val="0"/>
          <w:bCs w:val="0"/>
          <w:color w:val="000000" w:themeColor="text1"/>
          <w:sz w:val="32"/>
          <w:szCs w:val="32"/>
          <w:lang w:eastAsia="zh-CN"/>
          <w14:textFill>
            <w14:solidFill>
              <w14:schemeClr w14:val="tx1"/>
            </w14:solidFill>
          </w14:textFill>
        </w:rPr>
        <w:t>达到</w:t>
      </w:r>
      <w:r>
        <w:rPr>
          <w:rStyle w:val="14"/>
          <w:rFonts w:hint="eastAsia" w:ascii="仿宋_GB2312" w:eastAsia="仿宋_GB2312"/>
          <w:b w:val="0"/>
          <w:bCs w:val="0"/>
          <w:color w:val="000000" w:themeColor="text1"/>
          <w:sz w:val="32"/>
          <w:szCs w:val="32"/>
          <w14:textFill>
            <w14:solidFill>
              <w14:schemeClr w14:val="tx1"/>
            </w14:solidFill>
          </w14:textFill>
        </w:rPr>
        <w:t>5</w:t>
      </w:r>
      <w:r>
        <w:rPr>
          <w:rStyle w:val="14"/>
          <w:rFonts w:hint="eastAsia" w:ascii="仿宋_GB2312" w:eastAsia="仿宋_GB2312"/>
          <w:b w:val="0"/>
          <w:bCs w:val="0"/>
          <w:color w:val="000000" w:themeColor="text1"/>
          <w:sz w:val="32"/>
          <w:szCs w:val="32"/>
          <w:lang w:val="en-US" w:eastAsia="zh-CN"/>
          <w14:textFill>
            <w14:solidFill>
              <w14:schemeClr w14:val="tx1"/>
            </w14:solidFill>
          </w14:textFill>
        </w:rPr>
        <w:t>4.08</w:t>
      </w:r>
      <w:r>
        <w:rPr>
          <w:rStyle w:val="14"/>
          <w:rFonts w:hint="eastAsia" w:ascii="仿宋_GB2312" w:eastAsia="仿宋_GB2312"/>
          <w:b w:val="0"/>
          <w:bCs w:val="0"/>
          <w:color w:val="000000" w:themeColor="text1"/>
          <w:sz w:val="32"/>
          <w:szCs w:val="32"/>
          <w14:textFill>
            <w14:solidFill>
              <w14:schemeClr w14:val="tx1"/>
            </w14:solidFill>
          </w14:textFill>
        </w:rPr>
        <w:t>%</w:t>
      </w:r>
      <w:r>
        <w:rPr>
          <w:rStyle w:val="14"/>
          <w:rFonts w:hint="eastAsia" w:ascii="仿宋_GB2312" w:eastAsia="仿宋_GB2312"/>
          <w:b w:val="0"/>
          <w:bCs w:val="0"/>
          <w:color w:val="000000" w:themeColor="text1"/>
          <w:sz w:val="32"/>
          <w:szCs w:val="32"/>
          <w:lang w:eastAsia="zh-CN"/>
          <w14:textFill>
            <w14:solidFill>
              <w14:schemeClr w14:val="tx1"/>
            </w14:solidFill>
          </w14:textFill>
        </w:rPr>
        <w:t>。</w:t>
      </w:r>
      <w:r>
        <w:rPr>
          <w:rStyle w:val="14"/>
          <w:rFonts w:hint="eastAsia" w:ascii="仿宋_GB2312" w:eastAsia="仿宋_GB2312"/>
          <w:b w:val="0"/>
          <w:bCs w:val="0"/>
          <w:color w:val="000000" w:themeColor="text1"/>
          <w:sz w:val="32"/>
          <w:szCs w:val="32"/>
          <w14:textFill>
            <w14:solidFill>
              <w14:schemeClr w14:val="tx1"/>
            </w14:solidFill>
          </w14:textFill>
        </w:rPr>
        <w:t>针对推进儿童之家建设，采取</w:t>
      </w:r>
      <w:r>
        <w:rPr>
          <w:rStyle w:val="14"/>
          <w:rFonts w:hint="eastAsia" w:ascii="仿宋_GB2312" w:eastAsia="仿宋_GB2312"/>
          <w:b w:val="0"/>
          <w:bCs w:val="0"/>
          <w:color w:val="000000" w:themeColor="text1"/>
          <w:sz w:val="32"/>
          <w:szCs w:val="32"/>
          <w:lang w:eastAsia="zh-CN"/>
          <w14:textFill>
            <w14:solidFill>
              <w14:schemeClr w14:val="tx1"/>
            </w14:solidFill>
          </w14:textFill>
        </w:rPr>
        <w:t>实地</w:t>
      </w:r>
      <w:r>
        <w:rPr>
          <w:rStyle w:val="14"/>
          <w:rFonts w:hint="eastAsia" w:ascii="仿宋_GB2312" w:eastAsia="仿宋_GB2312"/>
          <w:b w:val="0"/>
          <w:bCs w:val="0"/>
          <w:color w:val="000000" w:themeColor="text1"/>
          <w:sz w:val="32"/>
          <w:szCs w:val="32"/>
          <w14:textFill>
            <w14:solidFill>
              <w14:schemeClr w14:val="tx1"/>
            </w14:solidFill>
          </w14:textFill>
        </w:rPr>
        <w:t>抽查方式核实</w:t>
      </w:r>
      <w:r>
        <w:rPr>
          <w:rStyle w:val="14"/>
          <w:rFonts w:hint="eastAsia" w:ascii="仿宋_GB2312" w:eastAsia="仿宋_GB2312"/>
          <w:b w:val="0"/>
          <w:bCs w:val="0"/>
          <w:color w:val="000000" w:themeColor="text1"/>
          <w:sz w:val="32"/>
          <w:szCs w:val="32"/>
          <w:lang w:eastAsia="zh-CN"/>
          <w14:textFill>
            <w14:solidFill>
              <w14:schemeClr w14:val="tx1"/>
            </w14:solidFill>
          </w14:textFill>
        </w:rPr>
        <w:t>情况，查找问题</w:t>
      </w:r>
      <w:r>
        <w:rPr>
          <w:rStyle w:val="14"/>
          <w:rFonts w:hint="eastAsia" w:ascii="仿宋_GB2312" w:eastAsia="仿宋_GB2312"/>
          <w:b w:val="0"/>
          <w:bCs w:val="0"/>
          <w:color w:val="000000" w:themeColor="text1"/>
          <w:sz w:val="32"/>
          <w:szCs w:val="32"/>
          <w14:textFill>
            <w14:solidFill>
              <w14:schemeClr w14:val="tx1"/>
            </w14:solidFill>
          </w14:textFill>
        </w:rPr>
        <w:t>，</w:t>
      </w:r>
      <w:r>
        <w:rPr>
          <w:rStyle w:val="14"/>
          <w:rFonts w:hint="eastAsia" w:ascii="仿宋_GB2312" w:eastAsia="仿宋_GB2312"/>
          <w:b w:val="0"/>
          <w:bCs w:val="0"/>
          <w:color w:val="000000" w:themeColor="text1"/>
          <w:sz w:val="32"/>
          <w:szCs w:val="32"/>
          <w:lang w:eastAsia="zh-CN"/>
          <w14:textFill>
            <w14:solidFill>
              <w14:schemeClr w14:val="tx1"/>
            </w14:solidFill>
          </w14:textFill>
        </w:rPr>
        <w:t>推动落实。目前</w:t>
      </w:r>
      <w:r>
        <w:rPr>
          <w:rStyle w:val="14"/>
          <w:rFonts w:hint="eastAsia" w:ascii="仿宋_GB2312" w:eastAsia="仿宋_GB2312"/>
          <w:b w:val="0"/>
          <w:bCs w:val="0"/>
          <w:color w:val="000000" w:themeColor="text1"/>
          <w:sz w:val="32"/>
          <w:szCs w:val="32"/>
          <w14:textFill>
            <w14:solidFill>
              <w14:schemeClr w14:val="tx1"/>
            </w14:solidFill>
          </w14:textFill>
        </w:rPr>
        <w:t>全市登记在册的儿童之家共有6704所，建成率</w:t>
      </w:r>
      <w:r>
        <w:rPr>
          <w:rStyle w:val="14"/>
          <w:rFonts w:hint="eastAsia" w:ascii="仿宋_GB2312" w:eastAsia="仿宋_GB2312"/>
          <w:b w:val="0"/>
          <w:bCs w:val="0"/>
          <w:color w:val="000000" w:themeColor="text1"/>
          <w:sz w:val="32"/>
          <w:szCs w:val="32"/>
          <w:lang w:eastAsia="zh-CN"/>
          <w14:textFill>
            <w14:solidFill>
              <w14:schemeClr w14:val="tx1"/>
            </w14:solidFill>
          </w14:textFill>
        </w:rPr>
        <w:t>达</w:t>
      </w:r>
      <w:r>
        <w:rPr>
          <w:rStyle w:val="14"/>
          <w:rFonts w:hint="eastAsia" w:ascii="仿宋_GB2312" w:eastAsia="仿宋_GB2312"/>
          <w:b w:val="0"/>
          <w:bCs w:val="0"/>
          <w:color w:val="000000" w:themeColor="text1"/>
          <w:sz w:val="32"/>
          <w:szCs w:val="32"/>
          <w14:textFill>
            <w14:solidFill>
              <w14:schemeClr w14:val="tx1"/>
            </w14:solidFill>
          </w14:textFill>
        </w:rPr>
        <w:t>98%。</w:t>
      </w:r>
    </w:p>
    <w:p>
      <w:pPr>
        <w:keepNext w:val="0"/>
        <w:keepLines w:val="0"/>
        <w:pageBreakBefore w:val="0"/>
        <w:kinsoku/>
        <w:wordWrap/>
        <w:overflowPunct/>
        <w:topLinePunct w:val="0"/>
        <w:autoSpaceDE/>
        <w:autoSpaceDN/>
        <w:bidi w:val="0"/>
        <w:adjustRightInd/>
        <w:snapToGrid w:val="0"/>
        <w:spacing w:line="560" w:lineRule="exact"/>
        <w:ind w:firstLine="640" w:firstLineChars="200"/>
        <w:rPr>
          <w:rStyle w:val="14"/>
          <w:rFonts w:ascii="仿宋_GB2312" w:eastAsia="仿宋_GB2312"/>
          <w:b w:val="0"/>
          <w:bCs w:val="0"/>
          <w:color w:val="000000" w:themeColor="text1"/>
          <w:sz w:val="32"/>
          <w:szCs w:val="32"/>
          <w14:textFill>
            <w14:solidFill>
              <w14:schemeClr w14:val="tx1"/>
            </w14:solidFill>
          </w14:textFill>
        </w:rPr>
      </w:pPr>
      <w:r>
        <w:rPr>
          <w:rStyle w:val="14"/>
          <w:rFonts w:ascii="仿宋_GB2312" w:hAnsi="黑体" w:eastAsia="仿宋_GB2312"/>
          <w:b w:val="0"/>
          <w:bCs w:val="0"/>
          <w:color w:val="000000" w:themeColor="text1"/>
          <w:sz w:val="32"/>
          <w:szCs w:val="32"/>
          <w14:textFill>
            <w14:solidFill>
              <w14:schemeClr w14:val="tx1"/>
            </w14:solidFill>
          </w14:textFill>
        </w:rPr>
        <w:t>落实国家七部委《关于</w:t>
      </w:r>
      <w:r>
        <w:rPr>
          <w:rStyle w:val="14"/>
          <w:rFonts w:ascii="仿宋_GB2312" w:hAnsi="仿宋_GB2312" w:eastAsia="仿宋_GB2312"/>
          <w:b w:val="0"/>
          <w:bCs w:val="0"/>
          <w:color w:val="000000" w:themeColor="text1"/>
          <w:sz w:val="32"/>
          <w:szCs w:val="32"/>
          <w14:textFill>
            <w14:solidFill>
              <w14:schemeClr w14:val="tx1"/>
            </w14:solidFill>
          </w14:textFill>
        </w:rPr>
        <w:t>进一步加强家庭家教家风建设的实施意见》，以市委办公厅名义印发北京市《实施意见》。</w:t>
      </w:r>
      <w:r>
        <w:rPr>
          <w:rStyle w:val="14"/>
          <w:rFonts w:hint="eastAsia" w:ascii="仿宋_GB2312" w:hAnsi="仿宋_GB2312" w:eastAsia="仿宋_GB2312" w:cs="仿宋_GB2312"/>
          <w:b w:val="0"/>
          <w:bCs w:val="0"/>
          <w:color w:val="000000" w:themeColor="text1"/>
          <w:sz w:val="32"/>
          <w:szCs w:val="32"/>
          <w14:textFill>
            <w14:solidFill>
              <w14:schemeClr w14:val="tx1"/>
            </w14:solidFill>
          </w14:textFill>
        </w:rPr>
        <w:t>加强</w:t>
      </w:r>
      <w:r>
        <w:rPr>
          <w:rStyle w:val="14"/>
          <w:rFonts w:ascii="仿宋_GB2312" w:hAnsi="仿宋_GB2312" w:eastAsia="仿宋_GB2312" w:cs="仿宋_GB2312"/>
          <w:b w:val="0"/>
          <w:bCs w:val="0"/>
          <w:color w:val="000000" w:themeColor="text1"/>
          <w:sz w:val="32"/>
          <w:szCs w:val="32"/>
          <w14:textFill>
            <w14:solidFill>
              <w14:schemeClr w14:val="tx1"/>
            </w14:solidFill>
          </w14:textFill>
        </w:rPr>
        <w:t>婚姻家庭纠纷</w:t>
      </w:r>
      <w:r>
        <w:rPr>
          <w:rStyle w:val="14"/>
          <w:rFonts w:hint="eastAsia" w:ascii="仿宋_GB2312" w:hAnsi="仿宋_GB2312" w:eastAsia="仿宋_GB2312" w:cs="仿宋_GB2312"/>
          <w:b w:val="0"/>
          <w:bCs w:val="0"/>
          <w:color w:val="000000" w:themeColor="text1"/>
          <w:sz w:val="32"/>
          <w:szCs w:val="32"/>
          <w14:textFill>
            <w14:solidFill>
              <w14:schemeClr w14:val="tx1"/>
            </w14:solidFill>
          </w14:textFill>
        </w:rPr>
        <w:t>预防调解力度，</w:t>
      </w:r>
      <w:r>
        <w:rPr>
          <w:rStyle w:val="14"/>
          <w:rFonts w:ascii="仿宋_GB2312" w:hAnsi="仿宋_GB2312" w:eastAsia="仿宋_GB2312" w:cs="仿宋_GB2312"/>
          <w:b w:val="0"/>
          <w:bCs w:val="0"/>
          <w:color w:val="000000" w:themeColor="text1"/>
          <w:sz w:val="32"/>
          <w:szCs w:val="32"/>
          <w14:textFill>
            <w14:solidFill>
              <w14:schemeClr w14:val="tx1"/>
            </w14:solidFill>
          </w14:textFill>
        </w:rPr>
        <w:t>推进</w:t>
      </w:r>
      <w:r>
        <w:rPr>
          <w:rStyle w:val="14"/>
          <w:rFonts w:ascii="仿宋_GB2312" w:eastAsia="仿宋_GB2312"/>
          <w:b w:val="0"/>
          <w:bCs w:val="0"/>
          <w:color w:val="000000" w:themeColor="text1"/>
          <w:sz w:val="32"/>
          <w:szCs w:val="32"/>
          <w14:textFill>
            <w14:solidFill>
              <w14:schemeClr w14:val="tx1"/>
            </w14:solidFill>
          </w14:textFill>
        </w:rPr>
        <w:t>全市婚姻家庭纠纷人民调解委员会建设率和备案率达到80%。</w:t>
      </w:r>
      <w:r>
        <w:rPr>
          <w:rStyle w:val="14"/>
          <w:rFonts w:ascii="仿宋_GB2312" w:hAnsi="仿宋_GB2312" w:eastAsia="仿宋_GB2312" w:cs="仿宋_GB2312"/>
          <w:b w:val="0"/>
          <w:bCs w:val="0"/>
          <w:color w:val="000000" w:themeColor="text1"/>
          <w:sz w:val="32"/>
          <w:szCs w:val="32"/>
          <w14:textFill>
            <w14:solidFill>
              <w14:schemeClr w14:val="tx1"/>
            </w14:solidFill>
          </w14:textFill>
        </w:rPr>
        <w:t>深化家庭文明建设，常态化不断线寻找首都最美家庭，8年累计推出各级各类最美家庭65万户。</w:t>
      </w:r>
      <w:r>
        <w:rPr>
          <w:rStyle w:val="14"/>
          <w:rFonts w:ascii="仿宋_GB2312" w:hAnsi="仿宋_GB2312" w:eastAsia="仿宋_GB2312"/>
          <w:b w:val="0"/>
          <w:bCs w:val="0"/>
          <w:color w:val="000000" w:themeColor="text1"/>
          <w:sz w:val="32"/>
          <w:szCs w:val="32"/>
          <w14:textFill>
            <w14:solidFill>
              <w14:schemeClr w14:val="tx1"/>
            </w14:solidFill>
          </w14:textFill>
        </w:rPr>
        <w:t>联合市纪委监委、市直机关工委征集“清风北京、廉洁齐家”作品1500余件。</w:t>
      </w:r>
      <w:r>
        <w:rPr>
          <w:rStyle w:val="14"/>
          <w:rFonts w:ascii="仿宋_GB2312" w:hAnsi="仿宋_GB2312" w:eastAsia="仿宋_GB2312" w:cs="仿宋_GB2312"/>
          <w:b w:val="0"/>
          <w:bCs w:val="0"/>
          <w:color w:val="000000" w:themeColor="text1"/>
          <w:sz w:val="32"/>
          <w:szCs w:val="32"/>
          <w14:textFill>
            <w14:solidFill>
              <w14:schemeClr w14:val="tx1"/>
            </w14:solidFill>
          </w14:textFill>
        </w:rPr>
        <w:t>提供家庭支持服务，针对优化生育政策、“双减”政策背景下新情况新问题，开展调查研究，出台20条工作举措。</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rPr>
      </w:pPr>
      <w:r>
        <w:rPr>
          <w:rStyle w:val="14"/>
          <w:rFonts w:hint="eastAsia" w:ascii="仿宋_GB2312" w:hAnsi="仿宋_GB2312" w:eastAsia="仿宋_GB2312" w:cs="Times New Roman"/>
          <w:b w:val="0"/>
          <w:bCs w:val="0"/>
          <w:color w:val="000000" w:themeColor="text1"/>
          <w:sz w:val="32"/>
          <w:szCs w:val="32"/>
          <w:lang w:val="en-US" w:eastAsia="zh-CN"/>
          <w14:textFill>
            <w14:solidFill>
              <w14:schemeClr w14:val="tx1"/>
            </w14:solidFill>
          </w14:textFill>
        </w:rPr>
        <w:t>研究制定落实全国妇联《“十四五”时期妇联事业发展规划》实施方案6个方面41项具体任务，开展巾帼建功系列活动，不断推进妇女全面发展。</w:t>
      </w:r>
      <w:r>
        <w:rPr>
          <w:rStyle w:val="14"/>
          <w:rFonts w:ascii="仿宋_GB2312" w:eastAsia="仿宋_GB2312"/>
          <w:b w:val="0"/>
          <w:bCs w:val="0"/>
          <w:color w:val="000000" w:themeColor="text1"/>
          <w:sz w:val="32"/>
          <w:szCs w:val="32"/>
          <w14:textFill>
            <w14:solidFill>
              <w14:schemeClr w14:val="tx1"/>
            </w14:solidFill>
          </w14:textFill>
        </w:rPr>
        <w:t>实施科技创新巾帼行动，</w:t>
      </w:r>
      <w:r>
        <w:rPr>
          <w:rStyle w:val="14"/>
          <w:rFonts w:ascii="仿宋_GB2312" w:hAnsi="仿宋_GB2312" w:eastAsia="仿宋_GB2312" w:cs="仿宋_GB2312"/>
          <w:b w:val="0"/>
          <w:bCs w:val="0"/>
          <w:color w:val="000000" w:themeColor="text1"/>
          <w:sz w:val="32"/>
          <w:szCs w:val="32"/>
          <w14:textFill>
            <w14:solidFill>
              <w14:schemeClr w14:val="tx1"/>
            </w14:solidFill>
          </w14:textFill>
        </w:rPr>
        <w:t>联合8部门出台《科技创新巾帼行动——北京行动》。</w:t>
      </w:r>
      <w:r>
        <w:rPr>
          <w:rStyle w:val="14"/>
          <w:rFonts w:ascii="仿宋_GB2312" w:eastAsia="仿宋_GB2312"/>
          <w:b w:val="0"/>
          <w:bCs w:val="0"/>
          <w:color w:val="000000" w:themeColor="text1"/>
          <w:sz w:val="32"/>
          <w:szCs w:val="32"/>
          <w14:textFill>
            <w14:solidFill>
              <w14:schemeClr w14:val="tx1"/>
            </w14:solidFill>
          </w14:textFill>
        </w:rPr>
        <w:t>支持妇女技能培训项目53个，举办“巧娘集市”，支持妇女居家灵活就业。</w:t>
      </w:r>
    </w:p>
    <w:p>
      <w:pPr>
        <w:keepNext w:val="0"/>
        <w:keepLines w:val="0"/>
        <w:pageBreakBefore w:val="0"/>
        <w:numPr>
          <w:ilvl w:val="0"/>
          <w:numId w:val="0"/>
        </w:numPr>
        <w:kinsoku/>
        <w:wordWrap/>
        <w:overflowPunct/>
        <w:topLinePunct w:val="0"/>
        <w:autoSpaceDE/>
        <w:autoSpaceDN/>
        <w:bidi w:val="0"/>
        <w:spacing w:line="56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2.</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pStyle w:val="8"/>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（1）20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年度研究课题8项，全部形成研究成果，课题全部验收合格，课题研究成果与任务书要求基本符合。课题成果应用</w:t>
      </w:r>
      <w:r>
        <w:rPr>
          <w:rFonts w:hint="eastAsia" w:ascii="仿宋_GB2312" w:hAnsi="宋体" w:eastAsia="仿宋_GB2312"/>
          <w:sz w:val="32"/>
          <w:szCs w:val="32"/>
          <w:lang w:eastAsia="zh-CN"/>
        </w:rPr>
        <w:t>到“</w:t>
      </w:r>
      <w:r>
        <w:rPr>
          <w:rFonts w:hint="eastAsia" w:ascii="仿宋_GB2312" w:hAnsi="宋体" w:eastAsia="仿宋_GB2312" w:cs="宋体"/>
          <w:sz w:val="32"/>
          <w:szCs w:val="32"/>
        </w:rPr>
        <w:t>关于优化生育政策推进0-3岁婴幼儿托育服务工作的提案</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北京市妇联关于加快推动北京市儿童友好城市建设的提案</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关于“三孩”政策背景下维护妇女权益提升家庭生育意愿的提案</w:t>
      </w:r>
      <w:r>
        <w:rPr>
          <w:rFonts w:hint="eastAsia" w:ascii="仿宋_GB2312" w:hAnsi="宋体" w:eastAsia="仿宋_GB2312" w:cs="宋体"/>
          <w:sz w:val="32"/>
          <w:szCs w:val="32"/>
          <w:lang w:eastAsia="zh-CN"/>
        </w:rPr>
        <w:t>”中。</w:t>
      </w:r>
    </w:p>
    <w:tbl>
      <w:tblPr>
        <w:tblStyle w:val="11"/>
        <w:tblW w:w="8414" w:type="dxa"/>
        <w:tblInd w:w="108" w:type="dxa"/>
        <w:tblLayout w:type="fixed"/>
        <w:tblCellMar>
          <w:top w:w="0" w:type="dxa"/>
          <w:left w:w="108" w:type="dxa"/>
          <w:bottom w:w="0" w:type="dxa"/>
          <w:right w:w="108" w:type="dxa"/>
        </w:tblCellMar>
      </w:tblPr>
      <w:tblGrid>
        <w:gridCol w:w="696"/>
        <w:gridCol w:w="4190"/>
        <w:gridCol w:w="1176"/>
        <w:gridCol w:w="1176"/>
        <w:gridCol w:w="1176"/>
      </w:tblGrid>
      <w:tr>
        <w:tblPrEx>
          <w:tblLayout w:type="fixed"/>
          <w:tblCellMar>
            <w:top w:w="0" w:type="dxa"/>
            <w:left w:w="108" w:type="dxa"/>
            <w:bottom w:w="0" w:type="dxa"/>
            <w:right w:w="108" w:type="dxa"/>
          </w:tblCellMar>
        </w:tblPrEx>
        <w:trPr>
          <w:trHeight w:val="550"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color w:val="000000"/>
                <w:kern w:val="0"/>
                <w:sz w:val="24"/>
                <w:szCs w:val="24"/>
                <w:lang w:bidi="ar"/>
              </w:rPr>
            </w:pPr>
            <w:r>
              <w:rPr>
                <w:rFonts w:hint="default" w:ascii="黑体" w:hAnsi="宋体" w:eastAsia="黑体" w:cs="黑体"/>
                <w:color w:val="000000"/>
                <w:kern w:val="0"/>
                <w:sz w:val="24"/>
                <w:szCs w:val="24"/>
                <w:lang w:bidi="ar"/>
              </w:rPr>
              <w:t>编号</w:t>
            </w:r>
          </w:p>
        </w:tc>
        <w:tc>
          <w:tcPr>
            <w:tcW w:w="4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color w:val="000000"/>
                <w:kern w:val="0"/>
                <w:sz w:val="24"/>
                <w:szCs w:val="24"/>
                <w:lang w:bidi="ar"/>
              </w:rPr>
            </w:pPr>
            <w:r>
              <w:rPr>
                <w:rFonts w:hint="default" w:ascii="黑体" w:hAnsi="宋体" w:eastAsia="黑体" w:cs="黑体"/>
                <w:color w:val="000000"/>
                <w:kern w:val="0"/>
                <w:sz w:val="24"/>
                <w:szCs w:val="24"/>
                <w:lang w:bidi="ar"/>
              </w:rPr>
              <w:t>课题名称</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color w:val="000000"/>
                <w:kern w:val="0"/>
                <w:sz w:val="24"/>
                <w:szCs w:val="24"/>
                <w:lang w:bidi="ar"/>
              </w:rPr>
            </w:pPr>
            <w:r>
              <w:rPr>
                <w:rFonts w:hint="default" w:ascii="黑体" w:hAnsi="宋体" w:eastAsia="黑体" w:cs="黑体"/>
                <w:color w:val="000000"/>
                <w:kern w:val="0"/>
                <w:sz w:val="24"/>
                <w:szCs w:val="24"/>
                <w:lang w:bidi="ar"/>
              </w:rPr>
              <w:t>完成程度</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color w:val="000000"/>
                <w:kern w:val="0"/>
                <w:sz w:val="24"/>
                <w:szCs w:val="24"/>
                <w:lang w:bidi="ar"/>
              </w:rPr>
            </w:pPr>
            <w:r>
              <w:rPr>
                <w:rFonts w:hint="default" w:ascii="黑体" w:hAnsi="宋体" w:eastAsia="黑体" w:cs="黑体"/>
                <w:color w:val="000000"/>
                <w:kern w:val="0"/>
                <w:sz w:val="24"/>
                <w:szCs w:val="24"/>
                <w:lang w:bidi="ar"/>
              </w:rPr>
              <w:t>是否验收</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黑体" w:hAnsi="宋体" w:eastAsia="黑体" w:cs="黑体"/>
                <w:color w:val="000000"/>
                <w:kern w:val="0"/>
                <w:sz w:val="24"/>
                <w:szCs w:val="24"/>
                <w:lang w:bidi="ar"/>
              </w:rPr>
            </w:pPr>
            <w:r>
              <w:rPr>
                <w:rFonts w:hint="default" w:ascii="黑体" w:hAnsi="宋体" w:eastAsia="黑体" w:cs="黑体"/>
                <w:color w:val="000000"/>
                <w:kern w:val="0"/>
                <w:sz w:val="24"/>
                <w:szCs w:val="24"/>
                <w:lang w:bidi="ar"/>
              </w:rPr>
              <w:t>是否合格</w:t>
            </w:r>
          </w:p>
        </w:tc>
      </w:tr>
      <w:tr>
        <w:tblPrEx>
          <w:tblLayout w:type="fixed"/>
          <w:tblCellMar>
            <w:top w:w="0" w:type="dxa"/>
            <w:left w:w="108" w:type="dxa"/>
            <w:bottom w:w="0" w:type="dxa"/>
            <w:right w:w="108" w:type="dxa"/>
          </w:tblCellMar>
        </w:tblPrEx>
        <w:trPr>
          <w:trHeight w:val="70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1</w:t>
            </w:r>
          </w:p>
        </w:tc>
        <w:tc>
          <w:tcPr>
            <w:tcW w:w="419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sz w:val="22"/>
                <w:szCs w:val="22"/>
                <w:lang w:eastAsia="zh-CN"/>
              </w:rPr>
              <w:t>基于儿童友好城市建设的北京市儿童现状与需求调研评估</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已完成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已验收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合格</w:t>
            </w:r>
          </w:p>
        </w:tc>
      </w:tr>
      <w:tr>
        <w:tblPrEx>
          <w:tblLayout w:type="fixed"/>
          <w:tblCellMar>
            <w:top w:w="0" w:type="dxa"/>
            <w:left w:w="108" w:type="dxa"/>
            <w:bottom w:w="0" w:type="dxa"/>
            <w:right w:w="108" w:type="dxa"/>
          </w:tblCellMar>
        </w:tblPrEx>
        <w:trPr>
          <w:trHeight w:val="69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2</w:t>
            </w:r>
          </w:p>
        </w:tc>
        <w:tc>
          <w:tcPr>
            <w:tcW w:w="419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sz w:val="22"/>
                <w:szCs w:val="22"/>
                <w:lang w:eastAsia="zh-CN"/>
              </w:rPr>
              <w:t>家庭教育立法调研</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已完成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已验收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合格</w:t>
            </w:r>
          </w:p>
        </w:tc>
      </w:tr>
      <w:tr>
        <w:tblPrEx>
          <w:tblLayout w:type="fixed"/>
          <w:tblCellMar>
            <w:top w:w="0" w:type="dxa"/>
            <w:left w:w="108" w:type="dxa"/>
            <w:bottom w:w="0" w:type="dxa"/>
            <w:right w:w="108" w:type="dxa"/>
          </w:tblCellMar>
        </w:tblPrEx>
        <w:trPr>
          <w:trHeight w:val="794"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3</w:t>
            </w:r>
          </w:p>
        </w:tc>
        <w:tc>
          <w:tcPr>
            <w:tcW w:w="419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sz w:val="22"/>
                <w:szCs w:val="22"/>
                <w:lang w:eastAsia="zh-CN"/>
              </w:rPr>
              <w:t>妇女及家庭需求调研</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已完成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已验收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合格</w:t>
            </w:r>
          </w:p>
        </w:tc>
      </w:tr>
      <w:tr>
        <w:tblPrEx>
          <w:tblLayout w:type="fixed"/>
          <w:tblCellMar>
            <w:top w:w="0" w:type="dxa"/>
            <w:left w:w="108" w:type="dxa"/>
            <w:bottom w:w="0" w:type="dxa"/>
            <w:right w:w="108" w:type="dxa"/>
          </w:tblCellMar>
        </w:tblPrEx>
        <w:trPr>
          <w:trHeight w:val="69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4</w:t>
            </w:r>
          </w:p>
        </w:tc>
        <w:tc>
          <w:tcPr>
            <w:tcW w:w="419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sz w:val="22"/>
                <w:szCs w:val="22"/>
                <w:lang w:eastAsia="zh-CN"/>
              </w:rPr>
              <w:t>年轻母亲减负问题调研</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已完成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已验收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合格</w:t>
            </w:r>
          </w:p>
        </w:tc>
      </w:tr>
      <w:tr>
        <w:tblPrEx>
          <w:tblLayout w:type="fixed"/>
          <w:tblCellMar>
            <w:top w:w="0" w:type="dxa"/>
            <w:left w:w="108" w:type="dxa"/>
            <w:bottom w:w="0" w:type="dxa"/>
            <w:right w:w="108" w:type="dxa"/>
          </w:tblCellMar>
        </w:tblPrEx>
        <w:trPr>
          <w:trHeight w:val="111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5</w:t>
            </w:r>
          </w:p>
        </w:tc>
        <w:tc>
          <w:tcPr>
            <w:tcW w:w="419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0" w:firstLineChars="0"/>
              <w:jc w:val="center"/>
              <w:rPr>
                <w:rFonts w:hint="eastAsia"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聚焦办好惠民实事，深化机关党建引领的</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0" w:firstLineChars="0"/>
              <w:jc w:val="center"/>
              <w:rPr>
                <w:rFonts w:hint="eastAsia"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研究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已完成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已验收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合格</w:t>
            </w:r>
          </w:p>
        </w:tc>
      </w:tr>
      <w:tr>
        <w:tblPrEx>
          <w:tblLayout w:type="fixed"/>
          <w:tblCellMar>
            <w:top w:w="0" w:type="dxa"/>
            <w:left w:w="108" w:type="dxa"/>
            <w:bottom w:w="0" w:type="dxa"/>
            <w:right w:w="108" w:type="dxa"/>
          </w:tblCellMar>
        </w:tblPrEx>
        <w:trPr>
          <w:trHeight w:val="69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6</w:t>
            </w:r>
          </w:p>
        </w:tc>
        <w:tc>
          <w:tcPr>
            <w:tcW w:w="419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北京市妇联组织开展党领导下的妇女运动史研究工作有关情况报告</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已完成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已验收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合格</w:t>
            </w:r>
          </w:p>
        </w:tc>
      </w:tr>
      <w:tr>
        <w:tblPrEx>
          <w:tblLayout w:type="fixed"/>
          <w:tblCellMar>
            <w:top w:w="0" w:type="dxa"/>
            <w:left w:w="108" w:type="dxa"/>
            <w:bottom w:w="0" w:type="dxa"/>
            <w:right w:w="108" w:type="dxa"/>
          </w:tblCellMar>
        </w:tblPrEx>
        <w:trPr>
          <w:trHeight w:val="69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7</w:t>
            </w:r>
          </w:p>
        </w:tc>
        <w:tc>
          <w:tcPr>
            <w:tcW w:w="419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北京市妇联关于宅基地制度改革试点工作的情况报告</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已完成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已验收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合格</w:t>
            </w:r>
          </w:p>
        </w:tc>
      </w:tr>
      <w:tr>
        <w:tblPrEx>
          <w:tblLayout w:type="fixed"/>
          <w:tblCellMar>
            <w:top w:w="0" w:type="dxa"/>
            <w:left w:w="108" w:type="dxa"/>
            <w:bottom w:w="0" w:type="dxa"/>
            <w:right w:w="108" w:type="dxa"/>
          </w:tblCellMar>
        </w:tblPrEx>
        <w:trPr>
          <w:trHeight w:val="690"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8</w:t>
            </w:r>
          </w:p>
        </w:tc>
        <w:tc>
          <w:tcPr>
            <w:tcW w:w="419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cs="Times New Roman"/>
                <w:kern w:val="2"/>
                <w:sz w:val="22"/>
                <w:szCs w:val="22"/>
                <w:lang w:val="en-US" w:eastAsia="zh-CN" w:bidi="ar-SA"/>
              </w:rPr>
            </w:pPr>
            <w:r>
              <w:rPr>
                <w:rFonts w:hint="eastAsia" w:ascii="仿宋_GB2312" w:hAnsi="宋体" w:eastAsia="仿宋_GB2312" w:cs="Times New Roman"/>
                <w:kern w:val="2"/>
                <w:sz w:val="22"/>
                <w:szCs w:val="22"/>
                <w:lang w:val="en-US" w:eastAsia="zh-CN" w:bidi="ar-SA"/>
              </w:rPr>
              <w:t>十三五时期妇女儿童发展规划实施情况研究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已完成</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已验收</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_GB2312" w:hAnsi="宋体" w:eastAsia="仿宋_GB2312"/>
                <w:sz w:val="22"/>
                <w:szCs w:val="22"/>
              </w:rPr>
            </w:pPr>
            <w:r>
              <w:rPr>
                <w:rFonts w:hint="eastAsia" w:ascii="仿宋_GB2312" w:hAnsi="宋体" w:eastAsia="仿宋_GB2312"/>
                <w:sz w:val="22"/>
                <w:szCs w:val="22"/>
              </w:rPr>
              <w:t>合格</w:t>
            </w:r>
          </w:p>
        </w:tc>
      </w:tr>
    </w:tbl>
    <w:p>
      <w:pPr>
        <w:pStyle w:val="5"/>
        <w:keepNext w:val="0"/>
        <w:keepLines w:val="0"/>
        <w:pageBreakBefore w:val="0"/>
        <w:kinsoku/>
        <w:wordWrap/>
        <w:overflowPunct/>
        <w:topLinePunct w:val="0"/>
        <w:autoSpaceDE/>
        <w:autoSpaceDN/>
        <w:bidi w:val="0"/>
        <w:spacing w:line="560" w:lineRule="exact"/>
        <w:rPr>
          <w:rFonts w:hint="eastAsia"/>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2021年市妇联服务中心大局，担当作为，推进新时代妇联工作高质量发展。</w:t>
      </w:r>
    </w:p>
    <w:p>
      <w:pPr>
        <w:pStyle w:val="2"/>
        <w:keepNext w:val="0"/>
        <w:keepLines w:val="0"/>
        <w:pageBreakBefore w:val="0"/>
        <w:numPr>
          <w:ilvl w:val="0"/>
          <w:numId w:val="0"/>
        </w:numPr>
        <w:kinsoku/>
        <w:wordWrap/>
        <w:overflowPunct/>
        <w:topLinePunct w:val="0"/>
        <w:autoSpaceDE/>
        <w:autoSpaceDN/>
        <w:bidi w:val="0"/>
        <w:spacing w:line="560" w:lineRule="exact"/>
        <w:ind w:firstLine="642"/>
        <w:rPr>
          <w:rStyle w:val="14"/>
          <w:rFonts w:hint="eastAsia" w:ascii="仿宋_GB2312" w:eastAsia="仿宋_GB2312"/>
          <w:color w:val="000000" w:themeColor="text1"/>
          <w:sz w:val="32"/>
          <w:szCs w:val="32"/>
          <w:lang w:val="en-US" w:eastAsia="zh-CN"/>
          <w14:textFill>
            <w14:solidFill>
              <w14:schemeClr w14:val="tx1"/>
            </w14:solidFill>
          </w14:textFill>
        </w:rPr>
      </w:pPr>
      <w:r>
        <w:rPr>
          <w:rStyle w:val="14"/>
          <w:rFonts w:hint="eastAsia" w:ascii="仿宋_GB2312" w:eastAsia="仿宋_GB2312"/>
          <w:b w:val="0"/>
          <w:bCs w:val="0"/>
          <w:color w:val="000000" w:themeColor="text1"/>
          <w:sz w:val="32"/>
          <w:szCs w:val="32"/>
          <w:lang w:eastAsia="zh-CN"/>
          <w14:textFill>
            <w14:solidFill>
              <w14:schemeClr w14:val="tx1"/>
            </w14:solidFill>
          </w14:textFill>
        </w:rPr>
        <w:t>持续推进政策法规性别平等评估工作做深做实。</w:t>
      </w:r>
      <w:r>
        <w:rPr>
          <w:rStyle w:val="14"/>
          <w:rFonts w:hint="eastAsia" w:ascii="仿宋_GB2312" w:eastAsia="仿宋_GB2312"/>
          <w:color w:val="000000" w:themeColor="text1"/>
          <w:sz w:val="32"/>
          <w:szCs w:val="32"/>
          <w14:textFill>
            <w14:solidFill>
              <w14:schemeClr w14:val="tx1"/>
            </w14:solidFill>
          </w14:textFill>
        </w:rPr>
        <w:t>借助我市妇女儿童发展研究智库的优势，</w:t>
      </w:r>
      <w:r>
        <w:rPr>
          <w:rStyle w:val="14"/>
          <w:rFonts w:hint="eastAsia" w:ascii="仿宋_GB2312" w:eastAsia="仿宋_GB2312"/>
          <w:color w:val="000000" w:themeColor="text1"/>
          <w:sz w:val="32"/>
          <w:szCs w:val="32"/>
          <w:lang w:val="en-US" w:eastAsia="zh-CN"/>
          <w14:textFill>
            <w14:solidFill>
              <w14:schemeClr w14:val="tx1"/>
            </w14:solidFill>
          </w14:textFill>
        </w:rPr>
        <w:t>主动对与妇女权益密切相关的《中华人民共和国妇女权益保障法（修订草案）》（征求意见稿）《&lt;北京市计划生育条例&gt;修正案（草案）》开展性别平等评估，继续对2020年度的440份备案类规范性文件进行评估,有效促进社会性别意识纳入决策主流。首次对全市评选出来的100个优秀村规民约和居民公约进行评估，使男女平等基本国策在基层治理和群众自治中得到有效落实。</w:t>
      </w:r>
    </w:p>
    <w:p>
      <w:pPr>
        <w:keepNext w:val="0"/>
        <w:keepLines w:val="0"/>
        <w:pageBreakBefore w:val="0"/>
        <w:widowControl/>
        <w:kinsoku/>
        <w:wordWrap/>
        <w:overflowPunct/>
        <w:topLinePunct w:val="0"/>
        <w:autoSpaceDE/>
        <w:autoSpaceDN/>
        <w:bidi w:val="0"/>
        <w:spacing w:line="560" w:lineRule="exact"/>
        <w:ind w:firstLine="681" w:firstLineChars="213"/>
        <w:textAlignment w:val="auto"/>
        <w:rPr>
          <w:rFonts w:hint="eastAsia"/>
          <w:lang w:val="en-US" w:eastAsia="zh-CN"/>
        </w:rPr>
      </w:pPr>
      <w:r>
        <w:rPr>
          <w:rStyle w:val="14"/>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高标准编制“十四五”妇女儿童规划。</w:t>
      </w:r>
      <w:r>
        <w:rPr>
          <w:rStyle w:val="14"/>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按照全市“十四五”规划编制工作总体安排，稳步推进“十四五”妇女儿童规划编制工作，做好与国家两纲、市“十四五”规划纲要，以及其他专项规划的衔接，将促进妇女全面发展、保障儿童优先发展和支持家庭发展的相关内容在“十四五”妇女儿童规划中进行细化，确保在目标要求和工作举措上体现整体性、系统性、协同性。组织专家进行论证，召开2021年度市妇女儿童工作委员会全体委员（扩大）会议审议规划文本。11月，《北京市“十四五”时期妇女儿童发展规划》已由市政府正式印发实施。同时，指导各区坚持从当地经济社会发展和妇女儿童工作实际出发，因地制宜，编制好区级“十四五”妇女儿童规划。</w:t>
      </w:r>
    </w:p>
    <w:p>
      <w:pPr>
        <w:keepNext w:val="0"/>
        <w:keepLines w:val="0"/>
        <w:pageBreakBefore w:val="0"/>
        <w:kinsoku/>
        <w:wordWrap/>
        <w:overflowPunct/>
        <w:topLinePunct w:val="0"/>
        <w:autoSpaceDE/>
        <w:autoSpaceDN/>
        <w:bidi w:val="0"/>
        <w:adjustRightInd/>
        <w:snapToGrid w:val="0"/>
        <w:spacing w:line="560" w:lineRule="exact"/>
        <w:ind w:firstLine="640" w:firstLineChars="200"/>
      </w:pPr>
      <w:r>
        <w:rPr>
          <w:rStyle w:val="14"/>
          <w:rFonts w:ascii="仿宋_GB2312" w:hAnsi="黑体" w:eastAsia="仿宋_GB2312"/>
          <w:b w:val="0"/>
          <w:bCs/>
          <w:color w:val="000000" w:themeColor="text1"/>
          <w:sz w:val="32"/>
          <w:szCs w:val="32"/>
          <w14:textFill>
            <w14:solidFill>
              <w14:schemeClr w14:val="tx1"/>
            </w14:solidFill>
          </w14:textFill>
        </w:rPr>
        <w:t>坚持首善标准，推动家庭家教家风建设高质量发展。</w:t>
      </w:r>
      <w:r>
        <w:rPr>
          <w:rStyle w:val="14"/>
          <w:rFonts w:ascii="仿宋_GB2312" w:hAnsi="仿宋_GB2312" w:eastAsia="仿宋_GB2312" w:cs="仿宋_GB2312"/>
          <w:bCs/>
          <w:color w:val="000000" w:themeColor="text1"/>
          <w:sz w:val="32"/>
          <w:szCs w:val="32"/>
          <w14:textFill>
            <w14:solidFill>
              <w14:schemeClr w14:val="tx1"/>
            </w14:solidFill>
          </w14:textFill>
        </w:rPr>
        <w:t>深化家庭文明建设，常态化不断线寻找首都最美家庭。</w:t>
      </w:r>
      <w:r>
        <w:rPr>
          <w:rStyle w:val="14"/>
          <w:rFonts w:ascii="仿宋_GB2312" w:hAnsi="仿宋_GB2312" w:eastAsia="仿宋_GB2312"/>
          <w:color w:val="000000" w:themeColor="text1"/>
          <w:sz w:val="32"/>
          <w:szCs w:val="32"/>
          <w14:textFill>
            <w14:solidFill>
              <w14:schemeClr w14:val="tx1"/>
            </w14:solidFill>
          </w14:textFill>
        </w:rPr>
        <w:t>联合市纪委监委、市直机关工委征集“清风北京、廉洁齐家”作品1500余件，有力弘扬了首都家庭良好家风，带动形成良好政风社风。</w:t>
      </w:r>
      <w:r>
        <w:rPr>
          <w:rStyle w:val="14"/>
          <w:rFonts w:ascii="仿宋_GB2312" w:hAnsi="仿宋_GB2312" w:eastAsia="仿宋_GB2312" w:cs="仿宋_GB2312"/>
          <w:bCs/>
          <w:color w:val="000000" w:themeColor="text1"/>
          <w:sz w:val="32"/>
          <w:szCs w:val="32"/>
          <w14:textFill>
            <w14:solidFill>
              <w14:schemeClr w14:val="tx1"/>
            </w14:solidFill>
          </w14:textFill>
        </w:rPr>
        <w:t>推进覆盖城乡的家庭教育指导服务体系建设，分年龄段推进覆盖0-18岁的家庭教育课程体系，逐步建设家庭成长中心，在学校、社区打造“家校社共育咨询室”，完善教师家访机制和家长培训体系，推动构建协同育人工作格局。提供家庭支持服务，针对优化生育政策、“双减”政策背景下新情况新问题，开展调查研究，出台20条工作举措，助推相关政策落地落实。</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Style w:val="14"/>
          <w:rFonts w:ascii="仿宋_GB2312" w:eastAsia="仿宋_GB2312"/>
          <w:color w:val="000000" w:themeColor="text1"/>
          <w:sz w:val="32"/>
          <w:szCs w:val="32"/>
          <w14:textFill>
            <w14:solidFill>
              <w14:schemeClr w14:val="tx1"/>
            </w14:solidFill>
          </w14:textFill>
        </w:rPr>
      </w:pPr>
      <w:r>
        <w:rPr>
          <w:rStyle w:val="14"/>
          <w:rFonts w:ascii="仿宋_GB2312" w:hAnsi="仿宋_GB2312" w:eastAsia="仿宋_GB2312" w:cs="仿宋_GB2312"/>
          <w:b w:val="0"/>
          <w:bCs/>
          <w:color w:val="000000" w:themeColor="text1"/>
          <w:sz w:val="32"/>
          <w:szCs w:val="32"/>
          <w14:textFill>
            <w14:solidFill>
              <w14:schemeClr w14:val="tx1"/>
            </w14:solidFill>
          </w14:textFill>
        </w:rPr>
        <w:t>发挥首善优势，在全面推进科技创新巾帼行动落实落地上做示范、做表率。</w:t>
      </w:r>
      <w:r>
        <w:rPr>
          <w:rStyle w:val="14"/>
          <w:rFonts w:ascii="仿宋_GB2312" w:hAnsi="仿宋_GB2312" w:eastAsia="仿宋_GB2312" w:cs="仿宋_GB2312"/>
          <w:bCs/>
          <w:color w:val="000000" w:themeColor="text1"/>
          <w:sz w:val="32"/>
          <w:szCs w:val="32"/>
          <w14:textFill>
            <w14:solidFill>
              <w14:schemeClr w14:val="tx1"/>
            </w14:solidFill>
          </w14:textFill>
        </w:rPr>
        <w:t>联合8部门出台《科技创新巾帼行动——北京行动》，</w:t>
      </w:r>
      <w:r>
        <w:rPr>
          <w:rStyle w:val="14"/>
          <w:rFonts w:hint="eastAsia" w:ascii="仿宋_GB2312" w:hAnsi="仿宋_GB2312" w:eastAsia="仿宋_GB2312" w:cs="仿宋_GB2312"/>
          <w:bCs/>
          <w:color w:val="000000" w:themeColor="text1"/>
          <w:sz w:val="32"/>
          <w:szCs w:val="32"/>
          <w14:textFill>
            <w14:solidFill>
              <w14:schemeClr w14:val="tx1"/>
            </w14:solidFill>
          </w14:textFill>
        </w:rPr>
        <w:t>强化政策支撑和制度保障，搭建交流展示平台，</w:t>
      </w:r>
      <w:r>
        <w:rPr>
          <w:rStyle w:val="14"/>
          <w:rFonts w:ascii="仿宋_GB2312" w:hAnsi="仿宋_GB2312" w:eastAsia="仿宋_GB2312" w:cs="仿宋_GB2312"/>
          <w:bCs/>
          <w:color w:val="000000" w:themeColor="text1"/>
          <w:sz w:val="32"/>
          <w:szCs w:val="32"/>
          <w14:textFill>
            <w14:solidFill>
              <w14:schemeClr w14:val="tx1"/>
            </w14:solidFill>
          </w14:textFill>
        </w:rPr>
        <w:t>为</w:t>
      </w:r>
      <w:r>
        <w:rPr>
          <w:rStyle w:val="14"/>
          <w:rFonts w:hint="eastAsia" w:ascii="仿宋_GB2312" w:hAnsi="仿宋_GB2312" w:eastAsia="仿宋_GB2312" w:cs="仿宋_GB2312"/>
          <w:bCs/>
          <w:color w:val="000000" w:themeColor="text1"/>
          <w:sz w:val="32"/>
          <w:szCs w:val="32"/>
          <w14:textFill>
            <w14:solidFill>
              <w14:schemeClr w14:val="tx1"/>
            </w14:solidFill>
          </w14:textFill>
        </w:rPr>
        <w:t>女科技工作者创新营造良好生态，</w:t>
      </w:r>
      <w:r>
        <w:rPr>
          <w:rStyle w:val="14"/>
          <w:rFonts w:ascii="仿宋_GB2312" w:hAnsi="仿宋_GB2312" w:eastAsia="仿宋_GB2312" w:cs="仿宋_GB2312"/>
          <w:bCs/>
          <w:color w:val="000000" w:themeColor="text1"/>
          <w:sz w:val="32"/>
          <w:szCs w:val="32"/>
          <w14:textFill>
            <w14:solidFill>
              <w14:schemeClr w14:val="tx1"/>
            </w14:solidFill>
          </w14:textFill>
        </w:rPr>
        <w:t>支持她们面向世界科技前沿、面向经济主战场、面向国家重大需求、面向人民生命健康，不断向科学技术广度和深度进军。</w:t>
      </w:r>
      <w:r>
        <w:rPr>
          <w:rStyle w:val="14"/>
          <w:rFonts w:ascii="仿宋_GB2312" w:eastAsia="仿宋_GB2312"/>
          <w:color w:val="000000" w:themeColor="text1"/>
          <w:sz w:val="32"/>
          <w:szCs w:val="32"/>
          <w14:textFill>
            <w14:solidFill>
              <w14:schemeClr w14:val="tx1"/>
            </w14:solidFill>
          </w14:textFill>
        </w:rPr>
        <w:t>建立包括两院院士、杰出人才在内的598名女科技工作者人才库。成立北京女科技工作者协会，助力加快建设世界重要人才中心和创新高地。</w:t>
      </w:r>
    </w:p>
    <w:p>
      <w:pPr>
        <w:keepNext w:val="0"/>
        <w:keepLines w:val="0"/>
        <w:pageBreakBefore w:val="0"/>
        <w:kinsoku/>
        <w:wordWrap/>
        <w:overflowPunct/>
        <w:topLinePunct w:val="0"/>
        <w:autoSpaceDE/>
        <w:autoSpaceDN/>
        <w:bidi w:val="0"/>
        <w:adjustRightInd/>
        <w:spacing w:line="560" w:lineRule="exact"/>
        <w:ind w:firstLine="640" w:firstLineChars="200"/>
        <w:jc w:val="left"/>
        <w:rPr>
          <w:rStyle w:val="14"/>
          <w:rFonts w:ascii="仿宋_GB2312" w:hAnsi="永中宋体" w:eastAsia="仿宋_GB2312" w:cs="Times New Roman"/>
          <w:color w:val="000000" w:themeColor="text1"/>
          <w:sz w:val="32"/>
          <w:szCs w:val="32"/>
          <w14:textFill>
            <w14:solidFill>
              <w14:schemeClr w14:val="tx1"/>
            </w14:solidFill>
          </w14:textFill>
        </w:rPr>
      </w:pPr>
      <w:r>
        <w:rPr>
          <w:rStyle w:val="14"/>
          <w:rFonts w:ascii="仿宋_GB2312" w:eastAsia="仿宋_GB2312"/>
          <w:b w:val="0"/>
          <w:bCs w:val="0"/>
          <w:color w:val="000000" w:themeColor="text1"/>
          <w:sz w:val="32"/>
          <w:szCs w:val="32"/>
          <w14:textFill>
            <w14:solidFill>
              <w14:schemeClr w14:val="tx1"/>
            </w14:solidFill>
          </w14:textFill>
        </w:rPr>
        <w:t>推出“首都最美巾帼奋斗者”工作品牌，</w:t>
      </w:r>
      <w:r>
        <w:rPr>
          <w:rStyle w:val="14"/>
          <w:rFonts w:hint="eastAsia" w:ascii="仿宋_GB2312" w:eastAsia="仿宋_GB2312"/>
          <w:b w:val="0"/>
          <w:bCs w:val="0"/>
          <w:color w:val="000000" w:themeColor="text1"/>
          <w:sz w:val="32"/>
          <w:szCs w:val="32"/>
          <w14:textFill>
            <w14:solidFill>
              <w14:schemeClr w14:val="tx1"/>
            </w14:solidFill>
          </w14:textFill>
        </w:rPr>
        <w:t>倡导女性自尊自信自立自强。</w:t>
      </w:r>
      <w:r>
        <w:rPr>
          <w:rStyle w:val="14"/>
          <w:rFonts w:ascii="仿宋_GB2312" w:eastAsia="仿宋_GB2312"/>
          <w:color w:val="000000" w:themeColor="text1"/>
          <w:sz w:val="32"/>
          <w:szCs w:val="32"/>
          <w14:textFill>
            <w14:solidFill>
              <w14:schemeClr w14:val="tx1"/>
            </w14:solidFill>
          </w14:textFill>
        </w:rPr>
        <w:t>支持妇女技能培训项目53个，举办“巧娘集市”，支持妇女居家灵活就业。帮助家政企业提质扩容，节假日期间为家政员送温暖稳岗留工，满足首都家政需求。</w:t>
      </w:r>
      <w:r>
        <w:rPr>
          <w:rStyle w:val="14"/>
          <w:rFonts w:ascii="仿宋_GB2312" w:hAnsi="永中宋体" w:eastAsia="仿宋_GB2312" w:cs="Times New Roman"/>
          <w:color w:val="000000" w:themeColor="text1"/>
          <w:sz w:val="32"/>
          <w:szCs w:val="32"/>
          <w14:textFill>
            <w14:solidFill>
              <w14:schemeClr w14:val="tx1"/>
            </w14:solidFill>
          </w14:textFill>
        </w:rPr>
        <w:t>引导首都妇女和家庭将常态化疫情防控融入日常，形成文明健康生活方式。</w:t>
      </w:r>
      <w:r>
        <w:rPr>
          <w:rStyle w:val="14"/>
          <w:rFonts w:ascii="仿宋_GB2312" w:hAnsi="仿宋_GB2312" w:eastAsia="仿宋_GB2312"/>
          <w:color w:val="000000" w:themeColor="text1"/>
          <w:sz w:val="32"/>
          <w:szCs w:val="32"/>
          <w14:textFill>
            <w14:solidFill>
              <w14:schemeClr w14:val="tx1"/>
            </w14:solidFill>
          </w14:textFill>
        </w:rPr>
        <w:t>助力冬奥筹办，实施冬奥文化传播、家庭参与、志愿服务三项行动，发布“走向2022，家庭与冬奥同行”倡议，引导首都家庭倡导文明礼仪、绿色生活、志愿奉献，为建设双奥之城营造氛围</w:t>
      </w:r>
      <w:r>
        <w:rPr>
          <w:rStyle w:val="14"/>
          <w:rFonts w:ascii="仿宋_GB2312" w:eastAsia="仿宋_GB2312"/>
          <w:color w:val="000000" w:themeColor="text1"/>
          <w:sz w:val="32"/>
          <w:szCs w:val="32"/>
          <w14:textFill>
            <w14:solidFill>
              <w14:schemeClr w14:val="tx1"/>
            </w14:solidFill>
          </w14:textFill>
        </w:rPr>
        <w:t>。</w:t>
      </w:r>
      <w:r>
        <w:rPr>
          <w:rStyle w:val="14"/>
          <w:rFonts w:ascii="仿宋_GB2312" w:hAnsi="永中宋体" w:eastAsia="仿宋_GB2312" w:cs="Times New Roman"/>
          <w:color w:val="000000" w:themeColor="text1"/>
          <w:sz w:val="32"/>
          <w:szCs w:val="32"/>
          <w14:textFill>
            <w14:solidFill>
              <w14:schemeClr w14:val="tx1"/>
            </w14:solidFill>
          </w14:textFill>
        </w:rPr>
        <w:t>主办联合国人权理事会第47届会议“保护妇女权利，推动高质量发展”边会，得到中央有关部门高度肯定。</w:t>
      </w:r>
    </w:p>
    <w:p>
      <w:pPr>
        <w:keepNext w:val="0"/>
        <w:keepLines w:val="0"/>
        <w:pageBreakBefore w:val="0"/>
        <w:kinsoku/>
        <w:wordWrap/>
        <w:overflowPunct/>
        <w:topLinePunct w:val="0"/>
        <w:autoSpaceDE/>
        <w:autoSpaceDN/>
        <w:bidi w:val="0"/>
        <w:spacing w:line="560" w:lineRule="exact"/>
        <w:ind w:firstLine="640"/>
        <w:rPr>
          <w:rStyle w:val="14"/>
          <w:rFonts w:hint="eastAsia" w:ascii="仿宋_GB2312" w:hAnsi="永中宋体" w:eastAsia="仿宋_GB2312" w:cs="Times New Roman"/>
          <w:color w:val="000000" w:themeColor="text1"/>
          <w:sz w:val="32"/>
          <w:szCs w:val="32"/>
          <w14:textFill>
            <w14:solidFill>
              <w14:schemeClr w14:val="tx1"/>
            </w14:solidFill>
          </w14:textFill>
        </w:rPr>
      </w:pPr>
      <w:r>
        <w:rPr>
          <w:rStyle w:val="14"/>
          <w:rFonts w:hint="eastAsia" w:ascii="仿宋_GB2312" w:eastAsia="仿宋_GB2312"/>
          <w:b w:val="0"/>
          <w:bCs w:val="0"/>
          <w:color w:val="000000" w:themeColor="text1"/>
          <w:sz w:val="32"/>
          <w:szCs w:val="32"/>
          <w14:textFill>
            <w14:solidFill>
              <w14:schemeClr w14:val="tx1"/>
            </w14:solidFill>
          </w14:textFill>
        </w:rPr>
        <w:t>妇女组织在不同领域、不同行业的覆盖面</w:t>
      </w:r>
      <w:r>
        <w:rPr>
          <w:rStyle w:val="14"/>
          <w:rFonts w:hint="eastAsia" w:ascii="仿宋_GB2312" w:eastAsia="仿宋_GB2312"/>
          <w:b w:val="0"/>
          <w:bCs w:val="0"/>
          <w:color w:val="000000" w:themeColor="text1"/>
          <w:sz w:val="32"/>
          <w:szCs w:val="32"/>
          <w:lang w:eastAsia="zh-CN"/>
          <w14:textFill>
            <w14:solidFill>
              <w14:schemeClr w14:val="tx1"/>
            </w14:solidFill>
          </w14:textFill>
        </w:rPr>
        <w:t>不断扩大</w:t>
      </w:r>
      <w:r>
        <w:rPr>
          <w:rStyle w:val="14"/>
          <w:rFonts w:hint="eastAsia" w:ascii="仿宋_GB2312" w:eastAsia="仿宋_GB2312"/>
          <w:b w:val="0"/>
          <w:bCs w:val="0"/>
          <w:color w:val="000000" w:themeColor="text1"/>
          <w:sz w:val="32"/>
          <w:szCs w:val="32"/>
          <w14:textFill>
            <w14:solidFill>
              <w14:schemeClr w14:val="tx1"/>
            </w14:solidFill>
          </w14:textFill>
        </w:rPr>
        <w:t>。</w:t>
      </w:r>
      <w:r>
        <w:rPr>
          <w:rStyle w:val="14"/>
          <w:rFonts w:hint="eastAsia" w:ascii="仿宋_GB2312" w:hAnsi="永中宋体" w:eastAsia="仿宋_GB2312" w:cs="Times New Roman"/>
          <w:color w:val="000000" w:themeColor="text1"/>
          <w:sz w:val="32"/>
          <w:szCs w:val="32"/>
          <w14:textFill>
            <w14:solidFill>
              <w14:schemeClr w14:val="tx1"/>
            </w14:solidFill>
          </w14:textFill>
        </w:rPr>
        <w:t>一是高校领域实现组织建设的新突破。与市委教育工委联合印发《关于开展高校妇联组织建设试点工作方案》，经与教工委多次沟通，与各高校一对一走访、联络、指导，共有13家高校参与试点建妇联工作。二是进一步扩大妇女组织在社会组织中的覆盖面。依托社会组织党建工作体系框架，与北京市行业协会商会综合党委联合印发《关于开展社会组织妇联组织建设试点工作方案》，确定7家联合党委开展妇联组织建设试点工作，覆盖社会组织380家。三是实现区域性重点园区组织建设的新突破。在北京经济技术开发区建立妇工委，妇联组织延伸范围又迈前一步。</w:t>
      </w:r>
    </w:p>
    <w:p>
      <w:pPr>
        <w:keepNext w:val="0"/>
        <w:keepLines w:val="0"/>
        <w:pageBreakBefore w:val="0"/>
        <w:numPr>
          <w:ilvl w:val="0"/>
          <w:numId w:val="0"/>
        </w:numPr>
        <w:kinsoku/>
        <w:wordWrap/>
        <w:overflowPunct/>
        <w:topLinePunct w:val="0"/>
        <w:autoSpaceDE/>
        <w:autoSpaceDN/>
        <w:bidi w:val="0"/>
        <w:spacing w:line="56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3.</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进度</w:t>
      </w:r>
    </w:p>
    <w:p>
      <w:pPr>
        <w:keepNext w:val="0"/>
        <w:keepLines w:val="0"/>
        <w:pageBreakBefore w:val="0"/>
        <w:kinsoku/>
        <w:wordWrap/>
        <w:overflowPunct/>
        <w:topLinePunct w:val="0"/>
        <w:autoSpaceDE/>
        <w:autoSpaceDN/>
        <w:bidi w:val="0"/>
        <w:spacing w:line="560" w:lineRule="exact"/>
        <w:ind w:firstLine="420" w:firstLineChars="200"/>
        <w:rPr>
          <w:rFonts w:hint="eastAsia" w:ascii="仿宋_GB2312" w:hAnsi="宋体" w:eastAsia="仿宋_GB2312" w:cs="宋体"/>
          <w:color w:val="000000"/>
          <w:kern w:val="0"/>
          <w:sz w:val="32"/>
          <w:szCs w:val="32"/>
          <w:lang w:val="en-US" w:eastAsia="zh-CN"/>
        </w:rPr>
      </w:pPr>
      <w:r>
        <w:rPr>
          <w:rFonts w:hint="eastAsia"/>
          <w:lang w:val="en-US" w:eastAsia="zh-CN"/>
        </w:rPr>
        <w:t xml:space="preserve"> </w:t>
      </w:r>
      <w:r>
        <w:rPr>
          <w:rFonts w:hint="eastAsia" w:ascii="仿宋_GB2312" w:hAnsi="宋体" w:eastAsia="仿宋_GB2312" w:cs="宋体"/>
          <w:color w:val="000000"/>
          <w:kern w:val="0"/>
          <w:sz w:val="32"/>
          <w:szCs w:val="32"/>
          <w:lang w:val="en-US" w:eastAsia="zh-CN"/>
        </w:rPr>
        <w:t>市妇联</w:t>
      </w:r>
      <w:r>
        <w:rPr>
          <w:rFonts w:hint="eastAsia" w:ascii="仿宋_GB2312" w:hAnsi="宋体" w:eastAsia="仿宋_GB2312" w:cs="宋体"/>
          <w:color w:val="000000"/>
          <w:kern w:val="0"/>
          <w:sz w:val="32"/>
          <w:szCs w:val="32"/>
        </w:rPr>
        <w:t>按合同约定和工作计划规范有序安排工作进度，1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月底前</w:t>
      </w:r>
      <w:r>
        <w:rPr>
          <w:rFonts w:hint="eastAsia" w:ascii="仿宋_GB2312" w:hAnsi="宋体" w:eastAsia="仿宋_GB2312" w:cs="宋体"/>
          <w:color w:val="000000"/>
          <w:kern w:val="0"/>
          <w:sz w:val="32"/>
          <w:szCs w:val="32"/>
          <w:lang w:eastAsia="zh-CN"/>
        </w:rPr>
        <w:t>全部</w:t>
      </w:r>
      <w:r>
        <w:rPr>
          <w:rFonts w:hint="eastAsia" w:ascii="仿宋_GB2312" w:hAnsi="宋体" w:eastAsia="仿宋_GB2312" w:cs="宋体"/>
          <w:color w:val="000000"/>
          <w:kern w:val="0"/>
          <w:sz w:val="32"/>
          <w:szCs w:val="32"/>
        </w:rPr>
        <w:t>完成预算支付</w:t>
      </w:r>
      <w:r>
        <w:rPr>
          <w:rFonts w:hint="eastAsia" w:ascii="仿宋_GB2312" w:hAnsi="宋体" w:eastAsia="仿宋_GB2312"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left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keepNext w:val="0"/>
        <w:keepLines w:val="0"/>
        <w:pageBreakBefore w:val="0"/>
        <w:numPr>
          <w:ilvl w:val="0"/>
          <w:numId w:val="0"/>
        </w:numPr>
        <w:kinsoku/>
        <w:wordWrap/>
        <w:overflowPunct/>
        <w:topLinePunct w:val="0"/>
        <w:autoSpaceDE/>
        <w:autoSpaceDN/>
        <w:bidi w:val="0"/>
        <w:spacing w:line="56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市妇联2021年实际支出8365.96万元，小于年初预算批复数8865.16万元和调整预算数9344.16万元，</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但</w:t>
      </w:r>
      <w:r>
        <w:rPr>
          <w:rFonts w:hint="eastAsia" w:ascii="仿宋_GB2312" w:hAnsi="仿宋" w:eastAsia="仿宋_GB2312"/>
          <w:sz w:val="32"/>
          <w:szCs w:val="32"/>
        </w:rPr>
        <w:t>比上年实际支出</w:t>
      </w:r>
      <w:r>
        <w:rPr>
          <w:rFonts w:ascii="仿宋_GB2312" w:hAnsi="仿宋" w:eastAsia="仿宋_GB2312"/>
          <w:sz w:val="32"/>
          <w:szCs w:val="32"/>
        </w:rPr>
        <w:t>8261.97</w:t>
      </w:r>
      <w:r>
        <w:rPr>
          <w:rFonts w:hint="eastAsia" w:ascii="仿宋_GB2312" w:hAnsi="仿宋" w:eastAsia="仿宋_GB2312"/>
          <w:sz w:val="32"/>
          <w:szCs w:val="32"/>
        </w:rPr>
        <w:t>万元增加</w:t>
      </w:r>
      <w:r>
        <w:rPr>
          <w:rFonts w:hint="eastAsia" w:ascii="仿宋_GB2312" w:hAnsi="仿宋" w:eastAsia="仿宋_GB2312"/>
          <w:sz w:val="32"/>
          <w:szCs w:val="32"/>
          <w:lang w:val="en-US" w:eastAsia="zh-CN"/>
        </w:rPr>
        <w:t>103.99</w:t>
      </w:r>
      <w:r>
        <w:rPr>
          <w:rFonts w:hint="eastAsia" w:ascii="仿宋_GB2312" w:hAnsi="仿宋" w:eastAsia="仿宋_GB2312"/>
          <w:sz w:val="32"/>
          <w:szCs w:val="32"/>
        </w:rPr>
        <w:t>万元</w:t>
      </w:r>
      <w:r>
        <w:rPr>
          <w:rFonts w:hint="eastAsia" w:ascii="仿宋_GB2312" w:hAnsi="仿宋" w:eastAsia="仿宋_GB2312"/>
          <w:sz w:val="32"/>
          <w:szCs w:val="32"/>
          <w:lang w:eastAsia="zh-CN"/>
        </w:rPr>
        <w:t>，说明市妇联整体支出能有效控制在财政预算范围内，但是相比去年支出规模有所扩大。</w:t>
      </w:r>
      <w:r>
        <w:rPr>
          <w:rFonts w:hint="eastAsia" w:ascii="仿宋_GB2312" w:hAnsi="宋体" w:eastAsia="仿宋_GB2312" w:cs="宋体"/>
          <w:color w:val="000000"/>
          <w:kern w:val="0"/>
          <w:sz w:val="32"/>
          <w:szCs w:val="32"/>
        </w:rPr>
        <w:t xml:space="preserve">                    </w:t>
      </w:r>
    </w:p>
    <w:p>
      <w:pPr>
        <w:keepNext w:val="0"/>
        <w:keepLines w:val="0"/>
        <w:pageBreakBefore w:val="0"/>
        <w:kinsoku/>
        <w:wordWrap/>
        <w:overflowPunct/>
        <w:topLinePunct w:val="0"/>
        <w:autoSpaceDE/>
        <w:autoSpaceDN/>
        <w:bidi w:val="0"/>
        <w:spacing w:line="56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keepNext w:val="0"/>
        <w:keepLines w:val="0"/>
        <w:pageBreakBefore w:val="0"/>
        <w:kinsoku/>
        <w:wordWrap/>
        <w:overflowPunct/>
        <w:topLinePunct w:val="0"/>
        <w:autoSpaceDE/>
        <w:autoSpaceDN/>
        <w:bidi w:val="0"/>
        <w:spacing w:line="56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ascii="仿宋_GB2312" w:hAnsi="永中宋体" w:eastAsia="仿宋_GB2312" w:cs="Times New Roman"/>
          <w:color w:val="000000" w:themeColor="text1"/>
          <w:sz w:val="32"/>
          <w:szCs w:val="32"/>
          <w14:textFill>
            <w14:solidFill>
              <w14:schemeClr w14:val="tx1"/>
            </w14:solidFill>
          </w14:textFill>
        </w:rPr>
      </w:pPr>
      <w:r>
        <w:rPr>
          <w:rStyle w:val="14"/>
          <w:rFonts w:hint="eastAsia" w:ascii="仿宋_GB2312" w:hAnsi="仿宋_GB2312" w:eastAsia="仿宋_GB2312"/>
          <w:color w:val="000000" w:themeColor="text1"/>
          <w:sz w:val="32"/>
          <w:szCs w:val="32"/>
          <w14:textFill>
            <w14:solidFill>
              <w14:schemeClr w14:val="tx1"/>
            </w14:solidFill>
          </w14:textFill>
        </w:rPr>
        <w:t>做实关爱服务,成立新就业群体家庭成长“驿”站，梳理200余项家庭服务清单，实施“新就业群体关心关爱专场服务”计划，目前已服务4411户家庭，覆盖9699人次。开展“巾帼维权 送法到家”服务，提升女性从业者权益维护意识，推动互联网企业落实生育休假、生育保险等制度。</w:t>
      </w:r>
      <w:r>
        <w:rPr>
          <w:rStyle w:val="14"/>
          <w:rFonts w:ascii="仿宋_GB2312" w:eastAsia="仿宋_GB2312"/>
          <w:b w:val="0"/>
          <w:bCs/>
          <w:color w:val="000000" w:themeColor="text1"/>
          <w:sz w:val="32"/>
          <w:szCs w:val="32"/>
          <w14:textFill>
            <w14:solidFill>
              <w14:schemeClr w14:val="tx1"/>
            </w14:solidFill>
          </w14:textFill>
        </w:rPr>
        <w:t>依托妇儿基金会，实施“春蕾计划”三年行动，</w:t>
      </w:r>
      <w:r>
        <w:rPr>
          <w:rStyle w:val="14"/>
          <w:rFonts w:ascii="仿宋_GB2312" w:eastAsia="仿宋_GB2312"/>
          <w:color w:val="000000" w:themeColor="text1"/>
          <w:sz w:val="32"/>
          <w:szCs w:val="32"/>
          <w14:textFill>
            <w14:solidFill>
              <w14:schemeClr w14:val="tx1"/>
            </w14:solidFill>
          </w14:textFill>
        </w:rPr>
        <w:t>资助新疆和田地区所有困境中小学女生、大学女生完成学业。</w:t>
      </w:r>
      <w:r>
        <w:rPr>
          <w:rStyle w:val="14"/>
          <w:rFonts w:ascii="仿宋_GB2312" w:hAnsi="永中宋体" w:eastAsia="仿宋_GB2312" w:cs="Times New Roman"/>
          <w:color w:val="000000" w:themeColor="text1"/>
          <w:sz w:val="32"/>
          <w:szCs w:val="32"/>
          <w14:textFill>
            <w14:solidFill>
              <w14:schemeClr w14:val="tx1"/>
            </w14:solidFill>
          </w14:textFill>
        </w:rPr>
        <w:t>配合卫健委做好妇女“两癌”筛查，</w:t>
      </w:r>
      <w:r>
        <w:rPr>
          <w:rStyle w:val="14"/>
          <w:rFonts w:ascii="仿宋_GB2312" w:eastAsia="仿宋_GB2312"/>
          <w:color w:val="000000" w:themeColor="text1"/>
          <w:sz w:val="32"/>
          <w:szCs w:val="32"/>
          <w14:textFill>
            <w14:solidFill>
              <w14:schemeClr w14:val="tx1"/>
            </w14:solidFill>
          </w14:textFill>
        </w:rPr>
        <w:t>筹集资金180万救助了筛查出的患病困难妇女。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eastAsia" w:ascii="仿宋_GB2312" w:eastAsia="仿宋_GB2312"/>
          <w:color w:val="000000" w:themeColor="text1"/>
          <w:sz w:val="32"/>
          <w:szCs w:val="32"/>
          <w14:textFill>
            <w14:solidFill>
              <w14:schemeClr w14:val="tx1"/>
            </w14:solidFill>
          </w14:textFill>
        </w:rPr>
      </w:pPr>
      <w:r>
        <w:rPr>
          <w:rStyle w:val="14"/>
          <w:rFonts w:hint="eastAsia" w:ascii="仿宋_GB2312" w:eastAsia="仿宋_GB2312"/>
          <w:color w:val="000000" w:themeColor="text1"/>
          <w:sz w:val="32"/>
          <w:szCs w:val="32"/>
          <w:lang w:val="en-US" w:eastAsia="zh-CN"/>
          <w14:textFill>
            <w14:solidFill>
              <w14:schemeClr w14:val="tx1"/>
            </w14:solidFill>
          </w14:textFill>
        </w:rPr>
        <w:t>落实市委领导批示要求，与市规划自然资源委、市城市规划设计院等部门联合开展“北京市儿童友好城市建设现状调研评估”，全面梳理儿童在健康、教育、社会保障、法律、环境等领域的发展现状，对全市2万余儿童和家长进行友好城市需求调查，赴3个区7个特色社区或单位开展实地调研，全面了解儿童和家长对未来城市发展的期望和需求，为儿童友好城市建设提供基础支撑。同时，聚焦儿童化妆品乱象、商场“VR”娱乐对儿童不友好、小区周边儿童运动场所不足、幼儿园监控缺乏监督、儿童用药剂量存在隐患等问题，召开专题调研座谈会研究解决对策建议，</w:t>
      </w:r>
      <w:r>
        <w:rPr>
          <w:rStyle w:val="14"/>
          <w:rFonts w:hint="eastAsia" w:ascii="仿宋_GB2312" w:eastAsia="仿宋_GB2312"/>
          <w:color w:val="000000" w:themeColor="text1"/>
          <w:sz w:val="32"/>
          <w:szCs w:val="32"/>
          <w14:textFill>
            <w14:solidFill>
              <w14:schemeClr w14:val="tx1"/>
            </w14:solidFill>
          </w14:textFill>
        </w:rPr>
        <w:t>为推动解决</w:t>
      </w:r>
      <w:r>
        <w:rPr>
          <w:rStyle w:val="14"/>
          <w:rFonts w:hint="eastAsia" w:ascii="仿宋_GB2312" w:eastAsia="仿宋_GB2312"/>
          <w:color w:val="000000" w:themeColor="text1"/>
          <w:sz w:val="32"/>
          <w:szCs w:val="32"/>
          <w:lang w:eastAsia="zh-CN"/>
          <w14:textFill>
            <w14:solidFill>
              <w14:schemeClr w14:val="tx1"/>
            </w14:solidFill>
          </w14:textFill>
        </w:rPr>
        <w:t>妇女</w:t>
      </w:r>
      <w:r>
        <w:rPr>
          <w:rStyle w:val="14"/>
          <w:rFonts w:hint="eastAsia" w:ascii="仿宋_GB2312" w:eastAsia="仿宋_GB2312"/>
          <w:color w:val="000000" w:themeColor="text1"/>
          <w:sz w:val="32"/>
          <w:szCs w:val="32"/>
          <w14:textFill>
            <w14:solidFill>
              <w14:schemeClr w14:val="tx1"/>
            </w14:solidFill>
          </w14:textFill>
        </w:rPr>
        <w:t>儿童发展中重点、难点问题提供依据。</w:t>
      </w:r>
    </w:p>
    <w:p>
      <w:pPr>
        <w:keepNext w:val="0"/>
        <w:keepLines w:val="0"/>
        <w:pageBreakBefore w:val="0"/>
        <w:kinsoku/>
        <w:wordWrap/>
        <w:overflowPunct/>
        <w:topLinePunct w:val="0"/>
        <w:autoSpaceDE/>
        <w:autoSpaceDN/>
        <w:bidi w:val="0"/>
        <w:adjustRightInd/>
        <w:snapToGrid w:val="0"/>
        <w:spacing w:line="560" w:lineRule="exact"/>
        <w:ind w:firstLine="640" w:firstLineChars="200"/>
        <w:rPr>
          <w:rStyle w:val="14"/>
          <w:rFonts w:ascii="仿宋_GB2312" w:eastAsia="仿宋_GB2312"/>
          <w:color w:val="000000" w:themeColor="text1"/>
          <w:sz w:val="32"/>
          <w:szCs w:val="32"/>
          <w14:textFill>
            <w14:solidFill>
              <w14:schemeClr w14:val="tx1"/>
            </w14:solidFill>
          </w14:textFill>
        </w:rPr>
      </w:pPr>
      <w:r>
        <w:rPr>
          <w:rStyle w:val="14"/>
          <w:rFonts w:ascii="仿宋_GB2312" w:eastAsia="仿宋_GB2312"/>
          <w:bCs/>
          <w:color w:val="000000" w:themeColor="text1"/>
          <w:sz w:val="32"/>
          <w:szCs w:val="32"/>
          <w14:textFill>
            <w14:solidFill>
              <w14:schemeClr w14:val="tx1"/>
            </w14:solidFill>
          </w14:textFill>
        </w:rPr>
        <w:t>推动</w:t>
      </w:r>
      <w:r>
        <w:rPr>
          <w:rStyle w:val="14"/>
          <w:rFonts w:ascii="仿宋_GB2312" w:hAnsi="华文仿宋" w:eastAsia="仿宋_GB2312"/>
          <w:color w:val="000000" w:themeColor="text1"/>
          <w:sz w:val="32"/>
          <w:szCs w:val="32"/>
          <w14:textFill>
            <w14:solidFill>
              <w14:schemeClr w14:val="tx1"/>
            </w14:solidFill>
          </w14:textFill>
        </w:rPr>
        <w:t>形成家庭参与基层治理的创新经验，</w:t>
      </w:r>
      <w:r>
        <w:rPr>
          <w:rStyle w:val="14"/>
          <w:rFonts w:ascii="仿宋_GB2312" w:hAnsi="仿宋_GB2312" w:eastAsia="仿宋_GB2312" w:cs="仿宋_GB2312"/>
          <w:bCs/>
          <w:color w:val="000000" w:themeColor="text1"/>
          <w:sz w:val="32"/>
          <w:szCs w:val="32"/>
          <w14:textFill>
            <w14:solidFill>
              <w14:schemeClr w14:val="tx1"/>
            </w14:solidFill>
          </w14:textFill>
        </w:rPr>
        <w:t>利用全市新时代文明实践中心（所、站）完善“点单”“派单”机制，打造志愿服务精品超市，创新“街巷小管家”“小院议事”“最美家庭一带一栋楼”等工作方法，发挥家庭</w:t>
      </w:r>
      <w:r>
        <w:rPr>
          <w:rStyle w:val="14"/>
          <w:rFonts w:ascii="仿宋_GB2312" w:hAnsi="华文仿宋" w:eastAsia="仿宋_GB2312"/>
          <w:color w:val="000000" w:themeColor="text1"/>
          <w:sz w:val="32"/>
          <w:szCs w:val="32"/>
          <w14:textFill>
            <w14:solidFill>
              <w14:schemeClr w14:val="tx1"/>
            </w14:solidFill>
          </w14:textFill>
        </w:rPr>
        <w:t>在基层社会治理中的独特作用。</w:t>
      </w:r>
      <w:r>
        <w:rPr>
          <w:rStyle w:val="14"/>
          <w:rFonts w:ascii="仿宋_GB2312" w:hAnsi="仿宋_GB2312" w:eastAsia="仿宋_GB2312" w:cs="仿宋_GB2312"/>
          <w:bCs/>
          <w:color w:val="000000" w:themeColor="text1"/>
          <w:sz w:val="32"/>
          <w:szCs w:val="32"/>
          <w14:textFill>
            <w14:solidFill>
              <w14:schemeClr w14:val="tx1"/>
            </w14:solidFill>
          </w14:textFill>
        </w:rPr>
        <w:t>深化家庭文明建设，常态化不断线寻找首都最美家庭，8年累计推出各级各类最美家庭65万户。</w:t>
      </w:r>
      <w:r>
        <w:rPr>
          <w:rStyle w:val="14"/>
          <w:rFonts w:ascii="仿宋_GB2312" w:hAnsi="仿宋_GB2312" w:eastAsia="仿宋_GB2312"/>
          <w:color w:val="000000" w:themeColor="text1"/>
          <w:sz w:val="32"/>
          <w:szCs w:val="32"/>
          <w14:textFill>
            <w14:solidFill>
              <w14:schemeClr w14:val="tx1"/>
            </w14:solidFill>
          </w14:textFill>
        </w:rPr>
        <w:t>联合市纪委监委、市直机关工委征集“清风北京、廉洁齐家”作品1500余件，有力弘扬了首都家庭良好家风，带动形成良好政风社风。</w:t>
      </w:r>
      <w:r>
        <w:rPr>
          <w:rStyle w:val="14"/>
          <w:rFonts w:ascii="仿宋_GB2312" w:hAnsi="仿宋_GB2312" w:eastAsia="仿宋_GB2312" w:cs="仿宋_GB2312"/>
          <w:bCs/>
          <w:color w:val="000000" w:themeColor="text1"/>
          <w:sz w:val="32"/>
          <w:szCs w:val="32"/>
          <w14:textFill>
            <w14:solidFill>
              <w14:schemeClr w14:val="tx1"/>
            </w14:solidFill>
          </w14:textFill>
        </w:rPr>
        <w:t>推进覆盖城乡的家庭教育指导服务体系建设，分年龄段推进覆盖0-18岁的家庭教育课程体系，逐步建设家庭成长中心，在学校、社区打造“家校社共育咨询室”，完善教师家访机制和家长培训体系，推动构建协同育人工作格局。</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eastAsia="仿宋_GB2312"/>
          <w:lang w:val="en-US" w:eastAsia="zh-CN"/>
        </w:rPr>
      </w:pPr>
      <w:r>
        <w:rPr>
          <w:rStyle w:val="14"/>
          <w:rFonts w:ascii="仿宋_GB2312" w:eastAsia="仿宋_GB2312"/>
          <w:b w:val="0"/>
          <w:bCs/>
          <w:color w:val="000000" w:themeColor="text1"/>
          <w:sz w:val="32"/>
          <w:szCs w:val="32"/>
          <w14:textFill>
            <w14:solidFill>
              <w14:schemeClr w14:val="tx1"/>
            </w14:solidFill>
          </w14:textFill>
        </w:rPr>
        <w:t>实施科技创新巾帼行动，</w:t>
      </w:r>
      <w:r>
        <w:rPr>
          <w:rStyle w:val="14"/>
          <w:rFonts w:ascii="仿宋_GB2312" w:hAnsi="仿宋_GB2312" w:eastAsia="仿宋_GB2312" w:cs="仿宋_GB2312"/>
          <w:bCs/>
          <w:color w:val="000000" w:themeColor="text1"/>
          <w:sz w:val="32"/>
          <w:szCs w:val="32"/>
          <w14:textFill>
            <w14:solidFill>
              <w14:schemeClr w14:val="tx1"/>
            </w14:solidFill>
          </w14:textFill>
        </w:rPr>
        <w:t>联合8部门出台《科技创新巾帼行动——北京行动》，</w:t>
      </w:r>
      <w:r>
        <w:rPr>
          <w:rStyle w:val="14"/>
          <w:rFonts w:hint="eastAsia" w:ascii="仿宋_GB2312" w:hAnsi="仿宋_GB2312" w:eastAsia="仿宋_GB2312" w:cs="仿宋_GB2312"/>
          <w:bCs/>
          <w:color w:val="000000" w:themeColor="text1"/>
          <w:sz w:val="32"/>
          <w:szCs w:val="32"/>
          <w14:textFill>
            <w14:solidFill>
              <w14:schemeClr w14:val="tx1"/>
            </w14:solidFill>
          </w14:textFill>
        </w:rPr>
        <w:t>强化政策支撑和制度保障，搭建交流展示平台，</w:t>
      </w:r>
      <w:r>
        <w:rPr>
          <w:rStyle w:val="14"/>
          <w:rFonts w:ascii="仿宋_GB2312" w:hAnsi="仿宋_GB2312" w:eastAsia="仿宋_GB2312" w:cs="仿宋_GB2312"/>
          <w:bCs/>
          <w:color w:val="000000" w:themeColor="text1"/>
          <w:sz w:val="32"/>
          <w:szCs w:val="32"/>
          <w14:textFill>
            <w14:solidFill>
              <w14:schemeClr w14:val="tx1"/>
            </w14:solidFill>
          </w14:textFill>
        </w:rPr>
        <w:t>为</w:t>
      </w:r>
      <w:r>
        <w:rPr>
          <w:rStyle w:val="14"/>
          <w:rFonts w:hint="eastAsia" w:ascii="仿宋_GB2312" w:hAnsi="仿宋_GB2312" w:eastAsia="仿宋_GB2312" w:cs="仿宋_GB2312"/>
          <w:bCs/>
          <w:color w:val="000000" w:themeColor="text1"/>
          <w:sz w:val="32"/>
          <w:szCs w:val="32"/>
          <w14:textFill>
            <w14:solidFill>
              <w14:schemeClr w14:val="tx1"/>
            </w14:solidFill>
          </w14:textFill>
        </w:rPr>
        <w:t>女科技工作者创新营造良好生态，</w:t>
      </w:r>
      <w:r>
        <w:rPr>
          <w:rStyle w:val="14"/>
          <w:rFonts w:ascii="仿宋_GB2312" w:hAnsi="仿宋_GB2312" w:eastAsia="仿宋_GB2312" w:cs="仿宋_GB2312"/>
          <w:bCs/>
          <w:color w:val="000000" w:themeColor="text1"/>
          <w:sz w:val="32"/>
          <w:szCs w:val="32"/>
          <w14:textFill>
            <w14:solidFill>
              <w14:schemeClr w14:val="tx1"/>
            </w14:solidFill>
          </w14:textFill>
        </w:rPr>
        <w:t>支持她们面向世界科技前沿、面向经济主战场、面向国家重大需求、面向人民生命健康，不断向科学技术广度和深度进军。</w:t>
      </w:r>
      <w:r>
        <w:rPr>
          <w:rStyle w:val="14"/>
          <w:rFonts w:ascii="仿宋_GB2312" w:eastAsia="仿宋_GB2312"/>
          <w:b w:val="0"/>
          <w:bCs/>
          <w:color w:val="000000" w:themeColor="text1"/>
          <w:sz w:val="32"/>
          <w:szCs w:val="32"/>
          <w14:textFill>
            <w14:solidFill>
              <w14:schemeClr w14:val="tx1"/>
            </w14:solidFill>
          </w14:textFill>
        </w:rPr>
        <w:t>实施创业创新巾帼行动，推</w:t>
      </w:r>
      <w:r>
        <w:rPr>
          <w:rStyle w:val="14"/>
          <w:rFonts w:ascii="仿宋_GB2312" w:eastAsia="仿宋_GB2312"/>
          <w:color w:val="000000" w:themeColor="text1"/>
          <w:sz w:val="32"/>
          <w:szCs w:val="32"/>
          <w14:textFill>
            <w14:solidFill>
              <w14:schemeClr w14:val="tx1"/>
            </w14:solidFill>
          </w14:textFill>
        </w:rPr>
        <w:t>出“首都最美巾帼奋斗者”工作品牌，每年在各地区、各行业、各领域选树100名带动作用强、群众基础好的女性先进模范人物</w:t>
      </w:r>
      <w:r>
        <w:rPr>
          <w:rStyle w:val="14"/>
          <w:rFonts w:hint="eastAsia" w:ascii="仿宋_GB2312" w:eastAsia="仿宋_GB2312"/>
          <w:color w:val="000000" w:themeColor="text1"/>
          <w:sz w:val="32"/>
          <w:szCs w:val="32"/>
          <w14:textFill>
            <w14:solidFill>
              <w14:schemeClr w14:val="tx1"/>
            </w14:solidFill>
          </w14:textFill>
        </w:rPr>
        <w:t>，加大宣传力度，倡导女性自尊自信自立自强。</w:t>
      </w:r>
      <w:r>
        <w:rPr>
          <w:rStyle w:val="14"/>
          <w:rFonts w:ascii="仿宋_GB2312" w:hAnsi="永中宋体" w:eastAsia="仿宋_GB2312" w:cs="Times New Roman"/>
          <w:color w:val="000000" w:themeColor="text1"/>
          <w:sz w:val="32"/>
          <w:szCs w:val="32"/>
          <w14:textFill>
            <w14:solidFill>
              <w14:schemeClr w14:val="tx1"/>
            </w14:solidFill>
          </w14:textFill>
        </w:rPr>
        <w:t>引导首都妇女和家庭将常态化疫情防控融入日常，形成文明健康生活方式。</w:t>
      </w:r>
      <w:r>
        <w:rPr>
          <w:rStyle w:val="14"/>
          <w:rFonts w:ascii="仿宋_GB2312" w:hAnsi="仿宋_GB2312" w:eastAsia="仿宋_GB2312"/>
          <w:color w:val="000000" w:themeColor="text1"/>
          <w:sz w:val="32"/>
          <w:szCs w:val="32"/>
          <w14:textFill>
            <w14:solidFill>
              <w14:schemeClr w14:val="tx1"/>
            </w14:solidFill>
          </w14:textFill>
        </w:rPr>
        <w:t>助力冬奥筹办，实施冬奥文化传播、家庭参与、志愿服务三项行动，发布“走向2022，家庭与冬奥同行”倡议，引导首都家庭倡导文明礼仪、绿色生活、志愿奉献，为建设双奥之城营造氛围</w:t>
      </w:r>
      <w:r>
        <w:rPr>
          <w:rStyle w:val="14"/>
          <w:rFonts w:ascii="仿宋_GB2312" w:eastAsia="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left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2.</w:t>
      </w:r>
      <w:r>
        <w:rPr>
          <w:rFonts w:hint="eastAsia" w:ascii="仿宋_GB2312" w:hAnsi="宋体" w:eastAsia="仿宋_GB2312" w:cs="宋体"/>
          <w:color w:val="000000"/>
          <w:kern w:val="0"/>
          <w:sz w:val="32"/>
          <w:szCs w:val="32"/>
        </w:rPr>
        <w:t>可持续</w:t>
      </w:r>
      <w:r>
        <w:rPr>
          <w:rFonts w:ascii="仿宋_GB2312" w:hAnsi="宋体" w:eastAsia="仿宋_GB2312" w:cs="宋体"/>
          <w:color w:val="000000"/>
          <w:kern w:val="0"/>
          <w:sz w:val="32"/>
          <w:szCs w:val="32"/>
        </w:rPr>
        <w:t>性影响</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Calibri" w:eastAsia="仿宋_GB2312" w:cs="Times New Roman"/>
          <w:b w:val="0"/>
          <w:bCs w:val="0"/>
          <w:sz w:val="32"/>
          <w:szCs w:val="32"/>
          <w:lang w:eastAsia="zh-CN"/>
        </w:rPr>
      </w:pPr>
      <w:r>
        <w:rPr>
          <w:rFonts w:hint="eastAsia" w:ascii="仿宋_GB2312" w:hAnsi="Calibri" w:eastAsia="仿宋_GB2312" w:cs="Times New Roman"/>
          <w:b w:val="0"/>
          <w:bCs w:val="0"/>
          <w:sz w:val="32"/>
          <w:szCs w:val="32"/>
        </w:rPr>
        <w:t>举办“共促性别平等 共建美好世界”北京行动。以“科技赋能女童”为主题，</w:t>
      </w:r>
      <w:r>
        <w:rPr>
          <w:rFonts w:hint="eastAsia" w:ascii="仿宋_GB2312" w:hAnsi="Calibri" w:eastAsia="仿宋_GB2312" w:cs="Times New Roman"/>
          <w:b w:val="0"/>
          <w:bCs w:val="0"/>
          <w:sz w:val="32"/>
          <w:szCs w:val="32"/>
          <w:lang w:eastAsia="zh-CN"/>
        </w:rPr>
        <w:t>通过</w:t>
      </w:r>
      <w:r>
        <w:rPr>
          <w:rFonts w:hint="eastAsia" w:ascii="仿宋_GB2312" w:hAnsi="Calibri" w:eastAsia="仿宋_GB2312" w:cs="Times New Roman"/>
          <w:b w:val="0"/>
          <w:bCs w:val="0"/>
          <w:sz w:val="32"/>
          <w:szCs w:val="32"/>
        </w:rPr>
        <w:t>“</w:t>
      </w:r>
      <w:r>
        <w:rPr>
          <w:rFonts w:hint="eastAsia" w:ascii="仿宋_GB2312" w:hAnsi="Calibri" w:eastAsia="仿宋_GB2312" w:cs="Times New Roman"/>
          <w:b w:val="0"/>
          <w:bCs w:val="0"/>
          <w:sz w:val="32"/>
          <w:szCs w:val="32"/>
          <w:lang w:eastAsia="zh-CN"/>
        </w:rPr>
        <w:t>她的科技素养</w:t>
      </w:r>
      <w:r>
        <w:rPr>
          <w:rFonts w:hint="eastAsia" w:ascii="仿宋_GB2312" w:hAnsi="Calibri" w:eastAsia="仿宋_GB2312" w:cs="Times New Roman"/>
          <w:b w:val="0"/>
          <w:bCs w:val="0"/>
          <w:sz w:val="32"/>
          <w:szCs w:val="32"/>
        </w:rPr>
        <w:t>”</w:t>
      </w:r>
      <w:r>
        <w:rPr>
          <w:rFonts w:hint="eastAsia" w:ascii="仿宋_GB2312" w:hAnsi="Calibri" w:eastAsia="仿宋_GB2312" w:cs="Times New Roman"/>
          <w:b w:val="0"/>
          <w:bCs w:val="0"/>
          <w:sz w:val="32"/>
          <w:szCs w:val="32"/>
          <w:lang w:eastAsia="zh-CN"/>
        </w:rPr>
        <w:t>科普课程实现面上覆盖，通过“她的科技视野”专家互动实现线上示范，通过“她的科技创想”竞赛实现点上见效，</w:t>
      </w:r>
      <w:r>
        <w:rPr>
          <w:rFonts w:hint="eastAsia" w:ascii="仿宋_GB2312" w:hAnsi="Calibri" w:eastAsia="仿宋_GB2312" w:cs="Times New Roman"/>
          <w:b w:val="0"/>
          <w:bCs w:val="0"/>
          <w:sz w:val="32"/>
          <w:szCs w:val="32"/>
        </w:rPr>
        <w:t>共组织全市11个区的170多个家庭和美国、加拿大、尼泊尔、菲律宾等国的海外青少年参与。</w:t>
      </w:r>
      <w:r>
        <w:rPr>
          <w:rFonts w:hint="eastAsia" w:ascii="仿宋_GB2312" w:hAnsi="Calibri" w:eastAsia="仿宋_GB2312" w:cs="Times New Roman"/>
          <w:b w:val="0"/>
          <w:bCs w:val="0"/>
          <w:sz w:val="32"/>
          <w:szCs w:val="32"/>
          <w:lang w:eastAsia="zh-CN"/>
        </w:rPr>
        <w:t>指导支持</w:t>
      </w:r>
      <w:r>
        <w:rPr>
          <w:rFonts w:hint="eastAsia" w:ascii="仿宋_GB2312" w:hAnsi="Calibri" w:eastAsia="仿宋_GB2312" w:cs="Times New Roman"/>
          <w:b w:val="0"/>
          <w:bCs w:val="0"/>
          <w:sz w:val="32"/>
          <w:szCs w:val="32"/>
        </w:rPr>
        <w:t>“她爱科技”全球创业大赛中国区总决赛。</w:t>
      </w:r>
      <w:r>
        <w:rPr>
          <w:rFonts w:hint="eastAsia" w:ascii="仿宋_GB2312" w:hAnsi="Calibri" w:eastAsia="仿宋_GB2312" w:cs="Times New Roman"/>
          <w:b w:val="0"/>
          <w:bCs w:val="0"/>
          <w:sz w:val="32"/>
          <w:szCs w:val="32"/>
          <w:lang w:eastAsia="zh-CN"/>
        </w:rPr>
        <w:t>围绕</w:t>
      </w:r>
      <w:r>
        <w:rPr>
          <w:rFonts w:hint="eastAsia" w:ascii="仿宋_GB2312" w:hAnsi="Calibri" w:eastAsia="仿宋_GB2312" w:cs="Times New Roman"/>
          <w:b w:val="0"/>
          <w:bCs w:val="0"/>
          <w:sz w:val="32"/>
          <w:szCs w:val="32"/>
        </w:rPr>
        <w:t>“她</w:t>
      </w:r>
      <w:r>
        <w:rPr>
          <w:rFonts w:hint="eastAsia" w:ascii="仿宋_GB2312" w:hAnsi="Calibri" w:eastAsia="仿宋_GB2312" w:cs="Times New Roman"/>
          <w:b w:val="0"/>
          <w:bCs w:val="0"/>
          <w:sz w:val="32"/>
          <w:szCs w:val="32"/>
          <w:lang w:eastAsia="zh-CN"/>
        </w:rPr>
        <w:t>赋能科技”主题，在疫情影响下扩大比赛规模，本年度设立25个分站赛，3000多支各国创业团队参赛，首次增设“她赋能科技”主题交流分享并进行全球直播，提升中国赛区国际影响力。</w:t>
      </w:r>
    </w:p>
    <w:p>
      <w:pPr>
        <w:keepNext w:val="0"/>
        <w:keepLines w:val="0"/>
        <w:pageBreakBefore w:val="0"/>
        <w:kinsoku/>
        <w:wordWrap/>
        <w:overflowPunct/>
        <w:topLinePunct w:val="0"/>
        <w:autoSpaceDE/>
        <w:autoSpaceDN/>
        <w:bidi w:val="0"/>
        <w:spacing w:line="560" w:lineRule="exact"/>
        <w:ind w:firstLine="645"/>
        <w:rPr>
          <w:rFonts w:hint="eastAsia"/>
          <w:lang w:eastAsia="zh-CN"/>
        </w:rPr>
      </w:pPr>
      <w:r>
        <w:rPr>
          <w:rFonts w:hint="eastAsia" w:ascii="仿宋_GB2312" w:hAnsi="仿宋" w:eastAsia="仿宋_GB2312"/>
          <w:sz w:val="32"/>
          <w:szCs w:val="32"/>
          <w:lang w:eastAsia="zh-CN"/>
        </w:rPr>
        <w:t>专题</w:t>
      </w:r>
      <w:r>
        <w:rPr>
          <w:rFonts w:hint="eastAsia" w:ascii="仿宋_GB2312" w:hAnsi="仿宋" w:eastAsia="仿宋_GB2312"/>
          <w:sz w:val="32"/>
          <w:szCs w:val="32"/>
        </w:rPr>
        <w:t>宣讲覆盖面和影响力</w:t>
      </w:r>
      <w:r>
        <w:rPr>
          <w:rFonts w:hint="eastAsia" w:ascii="仿宋_GB2312" w:hAnsi="仿宋" w:eastAsia="仿宋_GB2312"/>
          <w:sz w:val="32"/>
          <w:szCs w:val="32"/>
          <w:lang w:eastAsia="zh-CN"/>
        </w:rPr>
        <w:t>进一步增强。</w:t>
      </w:r>
      <w:r>
        <w:rPr>
          <w:rFonts w:hint="eastAsia" w:ascii="仿宋_GB2312" w:eastAsia="仿宋_GB2312"/>
          <w:sz w:val="32"/>
          <w:szCs w:val="32"/>
        </w:rPr>
        <w:t>参与制定《北京市妇联学习贯彻习近平总书记在庆祝中国共产党成立100周年大会上重要讲话精神专题宣讲方案》《北京市妇联系统学习贯彻党的十九届六中全会精神宣讲工作方案》等，</w:t>
      </w:r>
      <w:r>
        <w:rPr>
          <w:rFonts w:hint="eastAsia" w:ascii="仿宋_GB2312" w:hAnsi="仿宋" w:eastAsia="仿宋_GB2312"/>
          <w:sz w:val="32"/>
          <w:szCs w:val="32"/>
        </w:rPr>
        <w:t>着力组织市妇联领导干部、先进典型和首都巾帼最美宣讲团成员等走进基层、走进妇女、走进家庭，深入开展宣讲。通过统筹宣讲安排、细化宣讲方案、梳理宣讲提纲，悉心服务</w:t>
      </w:r>
      <w:r>
        <w:rPr>
          <w:rFonts w:hint="eastAsia" w:ascii="仿宋_GB2312" w:eastAsia="仿宋_GB2312"/>
          <w:sz w:val="32"/>
          <w:szCs w:val="32"/>
        </w:rPr>
        <w:t>市妇联领导</w:t>
      </w:r>
      <w:r>
        <w:rPr>
          <w:rFonts w:hint="eastAsia" w:ascii="仿宋_GB2312" w:eastAsia="仿宋_GB2312"/>
          <w:sz w:val="32"/>
          <w:szCs w:val="32"/>
          <w:lang w:eastAsia="zh-Hans"/>
        </w:rPr>
        <w:t>。</w:t>
      </w:r>
      <w:r>
        <w:rPr>
          <w:rFonts w:hint="eastAsia" w:ascii="仿宋_GB2312" w:eastAsia="仿宋_GB2312"/>
          <w:sz w:val="32"/>
          <w:szCs w:val="32"/>
        </w:rPr>
        <w:t>通过常委会、执委会、“</w:t>
      </w:r>
      <w:r>
        <w:rPr>
          <w:rFonts w:hint="eastAsia" w:ascii="仿宋_GB2312" w:hAnsi="仿宋" w:eastAsia="仿宋_GB2312"/>
          <w:sz w:val="32"/>
          <w:szCs w:val="32"/>
        </w:rPr>
        <w:t>新业态、新就业</w:t>
      </w:r>
      <w:r>
        <w:rPr>
          <w:rFonts w:hint="eastAsia" w:ascii="仿宋_GB2312" w:eastAsia="仿宋_GB2312"/>
          <w:sz w:val="32"/>
          <w:szCs w:val="32"/>
        </w:rPr>
        <w:t>”</w:t>
      </w:r>
      <w:r>
        <w:rPr>
          <w:rFonts w:hint="eastAsia" w:ascii="仿宋_GB2312" w:hAnsi="仿宋" w:eastAsia="仿宋_GB2312"/>
          <w:sz w:val="32"/>
          <w:szCs w:val="32"/>
        </w:rPr>
        <w:t>群体</w:t>
      </w:r>
      <w:r>
        <w:rPr>
          <w:rFonts w:hint="eastAsia" w:ascii="仿宋_GB2312" w:eastAsia="仿宋_GB2312"/>
          <w:sz w:val="32"/>
          <w:szCs w:val="32"/>
        </w:rPr>
        <w:t>工作部署会、北京巧娘线上学院分享会、深入联系点等多种形式开展宣讲，不断</w:t>
      </w:r>
      <w:r>
        <w:rPr>
          <w:rFonts w:hint="eastAsia" w:ascii="仿宋_GB2312" w:hAnsi="仿宋" w:eastAsia="仿宋_GB2312"/>
          <w:sz w:val="32"/>
          <w:szCs w:val="32"/>
        </w:rPr>
        <w:t>形成各方面宣讲力量共同参与的工作格局，扩大宣讲覆盖面和影响力。</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 xml:space="preserve">    妇女法治宣传教育影响力和覆盖面进一步扩大。以八五普法规划为引领，坚持普法宣传与弘扬先进性别文化相结合。持续深化“建设法治中国首善之区·巾帼在行动”、“三八”妇女维权行动，继续打造贴近妇女群众的妇女法治宣传教育品牌。注重法治宣传的联动效应，积极联合相关司法、行政部门共同开展主题宣传活动，扩大影响力和覆盖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 xml:space="preserve">    志愿服务影响力进一步提升。开展2020年度巾帼志愿服务案例征集活动，通过评审、补充采访、编辑整理，收录了优秀志愿者事迹11篇，优秀志愿家庭事迹13篇，优秀项目案例5篇，优秀志愿组织案例6篇，编辑印制了《2020年巾帼志愿服务案例集》，扩大志愿服务影响。</w:t>
      </w:r>
    </w:p>
    <w:p>
      <w:pPr>
        <w:keepNext w:val="0"/>
        <w:keepLines w:val="0"/>
        <w:pageBreakBefore w:val="0"/>
        <w:numPr>
          <w:ilvl w:val="0"/>
          <w:numId w:val="0"/>
        </w:numPr>
        <w:kinsoku/>
        <w:wordWrap/>
        <w:overflowPunct/>
        <w:topLinePunct w:val="0"/>
        <w:autoSpaceDE/>
        <w:autoSpaceDN/>
        <w:bidi w:val="0"/>
        <w:spacing w:line="56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3.</w:t>
      </w: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eastAsia" w:ascii="仿宋_GB2312" w:eastAsia="仿宋_GB2312"/>
          <w:color w:val="000000" w:themeColor="text1"/>
          <w:sz w:val="32"/>
          <w:szCs w:val="32"/>
          <w:lang w:val="en-US" w:eastAsia="zh-CN"/>
          <w14:textFill>
            <w14:solidFill>
              <w14:schemeClr w14:val="tx1"/>
            </w14:solidFill>
          </w14:textFill>
        </w:rPr>
      </w:pPr>
      <w:r>
        <w:rPr>
          <w:rStyle w:val="14"/>
          <w:rFonts w:hint="eastAsia" w:ascii="仿宋_GB2312" w:eastAsia="仿宋_GB2312"/>
          <w:color w:val="000000" w:themeColor="text1"/>
          <w:sz w:val="32"/>
          <w:szCs w:val="32"/>
          <w14:textFill>
            <w14:solidFill>
              <w14:schemeClr w14:val="tx1"/>
            </w14:solidFill>
          </w14:textFill>
        </w:rPr>
        <w:t>成立市妇女、儿童规划</w:t>
      </w:r>
      <w:r>
        <w:rPr>
          <w:rStyle w:val="14"/>
          <w:rFonts w:hint="eastAsia" w:ascii="仿宋_GB2312" w:eastAsia="仿宋_GB2312"/>
          <w:color w:val="000000" w:themeColor="text1"/>
          <w:sz w:val="32"/>
          <w:szCs w:val="32"/>
          <w:lang w:val="en-US" w:eastAsia="zh-CN"/>
          <w14:textFill>
            <w14:solidFill>
              <w14:schemeClr w14:val="tx1"/>
            </w14:solidFill>
          </w14:textFill>
        </w:rPr>
        <w:t>终期</w:t>
      </w:r>
      <w:r>
        <w:rPr>
          <w:rStyle w:val="14"/>
          <w:rFonts w:hint="eastAsia" w:ascii="仿宋_GB2312" w:eastAsia="仿宋_GB2312"/>
          <w:color w:val="000000" w:themeColor="text1"/>
          <w:sz w:val="32"/>
          <w:szCs w:val="32"/>
          <w14:textFill>
            <w14:solidFill>
              <w14:schemeClr w14:val="tx1"/>
            </w14:solidFill>
          </w14:textFill>
        </w:rPr>
        <w:t>评估领导小组，印发终期评估工作方案</w:t>
      </w:r>
      <w:r>
        <w:rPr>
          <w:rStyle w:val="14"/>
          <w:rFonts w:hint="eastAsia" w:ascii="仿宋_GB2312" w:eastAsia="仿宋_GB2312"/>
          <w:color w:val="000000" w:themeColor="text1"/>
          <w:sz w:val="32"/>
          <w:szCs w:val="32"/>
          <w:lang w:eastAsia="zh-CN"/>
          <w14:textFill>
            <w14:solidFill>
              <w14:schemeClr w14:val="tx1"/>
            </w14:solidFill>
          </w14:textFill>
        </w:rPr>
        <w:t>。</w:t>
      </w:r>
      <w:r>
        <w:rPr>
          <w:rStyle w:val="14"/>
          <w:rFonts w:hint="eastAsia" w:ascii="仿宋_GB2312" w:eastAsia="仿宋_GB2312"/>
          <w:color w:val="000000" w:themeColor="text1"/>
          <w:sz w:val="32"/>
          <w:szCs w:val="32"/>
          <w14:textFill>
            <w14:solidFill>
              <w14:schemeClr w14:val="tx1"/>
            </w14:solidFill>
          </w14:textFill>
        </w:rPr>
        <w:t>各区重点评估本地区实施妇女纲要（规划）的达标情况；市妇儿工委各成员单位重点评估本部门完成妇女纲要（规划）责任目标情况。</w:t>
      </w:r>
      <w:r>
        <w:rPr>
          <w:rStyle w:val="14"/>
          <w:rFonts w:hint="eastAsia" w:ascii="仿宋_GB2312" w:eastAsia="仿宋_GB2312"/>
          <w:color w:val="000000" w:themeColor="text1"/>
          <w:sz w:val="32"/>
          <w:szCs w:val="32"/>
          <w:lang w:eastAsia="zh-CN"/>
          <w14:textFill>
            <w14:solidFill>
              <w14:schemeClr w14:val="tx1"/>
            </w14:solidFill>
          </w14:textFill>
        </w:rPr>
        <w:t>在</w:t>
      </w:r>
      <w:r>
        <w:rPr>
          <w:rStyle w:val="14"/>
          <w:rFonts w:hint="eastAsia" w:ascii="仿宋_GB2312" w:eastAsia="仿宋_GB2312"/>
          <w:color w:val="000000" w:themeColor="text1"/>
          <w:sz w:val="32"/>
          <w:szCs w:val="32"/>
          <w:lang w:val="en-US" w:eastAsia="zh-CN"/>
          <w14:textFill>
            <w14:solidFill>
              <w14:schemeClr w14:val="tx1"/>
            </w14:solidFill>
          </w14:textFill>
        </w:rPr>
        <w:t>此</w:t>
      </w:r>
      <w:r>
        <w:rPr>
          <w:rStyle w:val="14"/>
          <w:rFonts w:hint="eastAsia" w:ascii="仿宋_GB2312" w:eastAsia="仿宋_GB2312"/>
          <w:color w:val="000000" w:themeColor="text1"/>
          <w:sz w:val="32"/>
          <w:szCs w:val="32"/>
          <w:lang w:eastAsia="zh-CN"/>
          <w14:textFill>
            <w14:solidFill>
              <w14:schemeClr w14:val="tx1"/>
            </w14:solidFill>
          </w14:textFill>
        </w:rPr>
        <w:t>基础上</w:t>
      </w:r>
      <w:r>
        <w:rPr>
          <w:rStyle w:val="14"/>
          <w:rFonts w:hint="eastAsia" w:ascii="仿宋_GB2312" w:eastAsia="仿宋_GB2312"/>
          <w:color w:val="000000" w:themeColor="text1"/>
          <w:sz w:val="32"/>
          <w:szCs w:val="32"/>
          <w14:textFill>
            <w14:solidFill>
              <w14:schemeClr w14:val="tx1"/>
            </w14:solidFill>
          </w14:textFill>
        </w:rPr>
        <w:t>，</w:t>
      </w:r>
      <w:r>
        <w:rPr>
          <w:rStyle w:val="14"/>
          <w:rFonts w:hint="eastAsia" w:ascii="仿宋_GB2312" w:eastAsia="仿宋_GB2312"/>
          <w:color w:val="000000" w:themeColor="text1"/>
          <w:sz w:val="32"/>
          <w:szCs w:val="32"/>
          <w:lang w:val="en-US" w:eastAsia="zh-CN"/>
          <w14:textFill>
            <w14:solidFill>
              <w14:schemeClr w14:val="tx1"/>
            </w14:solidFill>
          </w14:textFill>
        </w:rPr>
        <w:t>对国家“两纲”</w:t>
      </w:r>
      <w:r>
        <w:rPr>
          <w:rStyle w:val="14"/>
          <w:rFonts w:hint="eastAsia" w:ascii="仿宋_GB2312" w:eastAsia="仿宋_GB2312"/>
          <w:color w:val="000000" w:themeColor="text1"/>
          <w:sz w:val="32"/>
          <w:szCs w:val="32"/>
          <w:lang w:eastAsia="zh-CN"/>
          <w14:textFill>
            <w14:solidFill>
              <w14:schemeClr w14:val="tx1"/>
            </w14:solidFill>
          </w14:textFill>
        </w:rPr>
        <w:t>和</w:t>
      </w:r>
      <w:r>
        <w:rPr>
          <w:rStyle w:val="14"/>
          <w:rFonts w:hint="eastAsia" w:ascii="仿宋_GB2312" w:eastAsia="仿宋_GB2312"/>
          <w:color w:val="000000" w:themeColor="text1"/>
          <w:sz w:val="32"/>
          <w:szCs w:val="32"/>
          <w:lang w:val="en-US" w:eastAsia="zh-CN"/>
          <w14:textFill>
            <w14:solidFill>
              <w14:schemeClr w14:val="tx1"/>
            </w14:solidFill>
          </w14:textFill>
        </w:rPr>
        <w:t>市“</w:t>
      </w:r>
      <w:r>
        <w:rPr>
          <w:rStyle w:val="14"/>
          <w:rFonts w:hint="default" w:ascii="仿宋_GB2312" w:eastAsia="仿宋_GB2312"/>
          <w:color w:val="000000" w:themeColor="text1"/>
          <w:sz w:val="32"/>
          <w:szCs w:val="32"/>
          <w:lang w:val="en-US" w:eastAsia="zh-CN"/>
          <w14:textFill>
            <w14:solidFill>
              <w14:schemeClr w14:val="tx1"/>
            </w14:solidFill>
          </w14:textFill>
        </w:rPr>
        <w:t>十三五</w:t>
      </w:r>
      <w:r>
        <w:rPr>
          <w:rStyle w:val="14"/>
          <w:rFonts w:hint="eastAsia" w:ascii="仿宋_GB2312" w:eastAsia="仿宋_GB2312"/>
          <w:color w:val="000000" w:themeColor="text1"/>
          <w:sz w:val="32"/>
          <w:szCs w:val="32"/>
          <w:lang w:val="en-US" w:eastAsia="zh-CN"/>
          <w14:textFill>
            <w14:solidFill>
              <w14:schemeClr w14:val="tx1"/>
            </w14:solidFill>
          </w14:textFill>
        </w:rPr>
        <w:t>”</w:t>
      </w:r>
      <w:r>
        <w:rPr>
          <w:rStyle w:val="14"/>
          <w:rFonts w:hint="default" w:ascii="仿宋_GB2312" w:eastAsia="仿宋_GB2312"/>
          <w:color w:val="000000" w:themeColor="text1"/>
          <w:sz w:val="32"/>
          <w:szCs w:val="32"/>
          <w:lang w:val="en-US" w:eastAsia="zh-CN"/>
          <w14:textFill>
            <w14:solidFill>
              <w14:schemeClr w14:val="tx1"/>
            </w14:solidFill>
          </w14:textFill>
        </w:rPr>
        <w:t>妇女、儿童规划实施情况开展终期评估</w:t>
      </w:r>
      <w:r>
        <w:rPr>
          <w:rStyle w:val="14"/>
          <w:rFonts w:hint="eastAsia" w:ascii="仿宋_GB2312" w:eastAsia="仿宋_GB2312"/>
          <w:color w:val="000000" w:themeColor="text1"/>
          <w:sz w:val="32"/>
          <w:szCs w:val="32"/>
          <w:lang w:val="en-US" w:eastAsia="zh-CN"/>
          <w14:textFill>
            <w14:solidFill>
              <w14:schemeClr w14:val="tx1"/>
            </w14:solidFill>
          </w14:textFill>
        </w:rPr>
        <w:t>。评估显示，国家“两纲”99项监测指标和“十三五”妇女、儿童规划42项重点监测指标均全部完成，妇女参与决策和管理更加广泛，妇女经济参与能力明显提升，妇女儿童受教育质量不断提高、健康状况持续改善、合法权益得到有效保障、社会保障覆盖范围全面扩大、发展环境持续优化，妇女儿童的获得感幸福感安全感不断增强。</w:t>
      </w:r>
    </w:p>
    <w:p>
      <w:pPr>
        <w:keepNext w:val="0"/>
        <w:keepLines w:val="0"/>
        <w:pageBreakBefore w:val="0"/>
        <w:widowControl/>
        <w:numPr>
          <w:ilvl w:val="0"/>
          <w:numId w:val="0"/>
        </w:numPr>
        <w:kinsoku/>
        <w:wordWrap/>
        <w:overflowPunct/>
        <w:topLinePunct w:val="0"/>
        <w:autoSpaceDE/>
        <w:autoSpaceDN/>
        <w:bidi w:val="0"/>
        <w:snapToGrid w:val="0"/>
        <w:spacing w:line="560" w:lineRule="exact"/>
        <w:ind w:firstLine="640"/>
        <w:jc w:val="left"/>
        <w:rPr>
          <w:rFonts w:hint="eastAsia" w:ascii="仿宋_GB2312" w:hAnsi="仿宋_GB2312" w:eastAsia="仿宋_GB2312" w:cs="仿宋_GB2312"/>
          <w:bCs/>
          <w:sz w:val="32"/>
          <w:szCs w:val="32"/>
          <w:lang w:eastAsia="zh-CN"/>
        </w:rPr>
      </w:pPr>
      <w:r>
        <w:rPr>
          <w:rFonts w:hint="eastAsia" w:ascii="仿宋_GB2312" w:hAnsi="华文中宋" w:eastAsia="仿宋_GB2312"/>
          <w:sz w:val="32"/>
          <w:szCs w:val="32"/>
        </w:rPr>
        <w:t>在中联部、北京市委市政府外办总体指导下，通过妇女独特视角向国际社会讲好中国共产党故事和北京故事，展示我国妇女事业发展进步，为全球治理提供妇女领域的北京</w:t>
      </w:r>
      <w:r>
        <w:rPr>
          <w:rFonts w:hint="eastAsia" w:ascii="仿宋_GB2312" w:hAnsi="华文中宋" w:eastAsia="仿宋_GB2312"/>
          <w:sz w:val="32"/>
          <w:szCs w:val="32"/>
          <w:lang w:eastAsia="zh-CN"/>
        </w:rPr>
        <w:t>经验</w:t>
      </w:r>
      <w:r>
        <w:rPr>
          <w:rFonts w:hint="eastAsia" w:ascii="仿宋_GB2312" w:hAnsi="华文中宋" w:eastAsia="仿宋_GB2312"/>
          <w:sz w:val="32"/>
          <w:szCs w:val="32"/>
        </w:rPr>
        <w:t>，同时在国际舞台上积极发声应对恶意不实指责，捍卫我核心利益</w:t>
      </w:r>
      <w:r>
        <w:rPr>
          <w:rFonts w:hint="eastAsia" w:ascii="仿宋_GB2312" w:hAnsi="华文中宋" w:eastAsia="仿宋_GB2312"/>
          <w:sz w:val="32"/>
          <w:szCs w:val="32"/>
          <w:lang w:eastAsia="zh-CN"/>
        </w:rPr>
        <w:t>，活动</w:t>
      </w:r>
      <w:r>
        <w:rPr>
          <w:rFonts w:hint="eastAsia" w:ascii="仿宋_GB2312" w:hAnsi="仿宋_GB2312" w:eastAsia="仿宋_GB2312" w:cs="仿宋_GB2312"/>
          <w:bCs/>
          <w:sz w:val="32"/>
          <w:szCs w:val="32"/>
        </w:rPr>
        <w:t>得到北京市委外办</w:t>
      </w:r>
      <w:r>
        <w:rPr>
          <w:rFonts w:hint="eastAsia" w:ascii="仿宋_GB2312" w:hAnsi="仿宋_GB2312" w:eastAsia="仿宋_GB2312" w:cs="仿宋_GB2312"/>
          <w:bCs/>
          <w:sz w:val="32"/>
          <w:szCs w:val="32"/>
          <w:lang w:eastAsia="zh-CN"/>
        </w:rPr>
        <w:t>及</w:t>
      </w:r>
      <w:r>
        <w:rPr>
          <w:rFonts w:hint="eastAsia" w:ascii="仿宋_GB2312" w:hAnsi="仿宋_GB2312" w:eastAsia="仿宋_GB2312" w:cs="仿宋_GB2312"/>
          <w:bCs/>
          <w:sz w:val="32"/>
          <w:szCs w:val="32"/>
        </w:rPr>
        <w:t>中央有关部门的</w:t>
      </w:r>
      <w:r>
        <w:rPr>
          <w:rFonts w:hint="eastAsia" w:ascii="仿宋_GB2312" w:hAnsi="仿宋_GB2312" w:eastAsia="仿宋_GB2312" w:cs="仿宋_GB2312"/>
          <w:bCs/>
          <w:sz w:val="32"/>
          <w:szCs w:val="32"/>
          <w:lang w:eastAsia="zh-CN"/>
        </w:rPr>
        <w:t>认可。</w:t>
      </w:r>
    </w:p>
    <w:p>
      <w:pPr>
        <w:pStyle w:val="5"/>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华文中宋" w:eastAsia="仿宋_GB2312" w:cs="Times New Roman"/>
          <w:kern w:val="2"/>
          <w:sz w:val="32"/>
          <w:szCs w:val="32"/>
          <w:lang w:val="en-US" w:eastAsia="zh-CN" w:bidi="ar-SA"/>
        </w:rPr>
      </w:pPr>
      <w:r>
        <w:rPr>
          <w:rFonts w:hint="eastAsia" w:ascii="仿宋_GB2312" w:hAnsi="仿宋_GB2312" w:eastAsia="仿宋_GB2312" w:cs="仿宋_GB2312"/>
          <w:sz w:val="32"/>
          <w:szCs w:val="32"/>
          <w:lang w:eastAsia="zh-CN"/>
        </w:rPr>
        <w:t>市妇联</w:t>
      </w:r>
      <w:r>
        <w:rPr>
          <w:rFonts w:hint="eastAsia" w:ascii="仿宋_GB2312" w:hAnsi="华文中宋" w:eastAsia="仿宋_GB2312" w:cs="Times New Roman"/>
          <w:kern w:val="2"/>
          <w:sz w:val="32"/>
          <w:szCs w:val="32"/>
          <w:lang w:val="en-US" w:eastAsia="zh-CN" w:bidi="ar-SA"/>
        </w:rPr>
        <w:t>系列化社会服务项目的实施覆盖了全市16个区，根据满意度调查表、活动测评表统计结果显示，97%的活动参与者在活动目标、活动设计安排、服务机构、活动参与程度4个层面给出了满分，96%的电话访谈受访人对服务专业性、服务态度、活动整体情况选择了十分满意。中心面向社会的公益服务较好地完成预期目标，</w:t>
      </w:r>
      <w:r>
        <w:rPr>
          <w:rFonts w:hint="eastAsia" w:ascii="仿宋_GB2312" w:hAnsi="华文中宋" w:eastAsia="仿宋_GB2312" w:cs="Times New Roman"/>
          <w:kern w:val="2"/>
          <w:sz w:val="32"/>
          <w:szCs w:val="32"/>
          <w:lang w:val="zh-TW" w:eastAsia="zh-CN" w:bidi="ar-SA"/>
        </w:rPr>
        <w:t>得到了首都广大妇女儿童和家庭的认可</w:t>
      </w:r>
      <w:r>
        <w:rPr>
          <w:rFonts w:hint="eastAsia" w:ascii="仿宋_GB2312" w:hAnsi="华文中宋" w:eastAsia="仿宋_GB2312" w:cs="Times New Roman"/>
          <w:kern w:val="2"/>
          <w:sz w:val="32"/>
          <w:szCs w:val="32"/>
          <w:lang w:val="en-US" w:eastAsia="zh-CN" w:bidi="ar-SA"/>
        </w:rPr>
        <w:t>。</w:t>
      </w:r>
    </w:p>
    <w:p>
      <w:pPr>
        <w:pStyle w:val="5"/>
        <w:keepNext w:val="0"/>
        <w:keepLines w:val="0"/>
        <w:pageBreakBefore w:val="0"/>
        <w:kinsoku/>
        <w:wordWrap/>
        <w:overflowPunct/>
        <w:topLinePunct w:val="0"/>
        <w:autoSpaceDE/>
        <w:autoSpaceDN/>
        <w:bidi w:val="0"/>
        <w:spacing w:line="560" w:lineRule="exact"/>
        <w:ind w:firstLine="64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keepNext w:val="0"/>
        <w:keepLines w:val="0"/>
        <w:pageBreakBefore w:val="0"/>
        <w:kinsoku/>
        <w:wordWrap/>
        <w:overflowPunct/>
        <w:topLinePunct w:val="0"/>
        <w:autoSpaceDE/>
        <w:autoSpaceDN/>
        <w:bidi w:val="0"/>
        <w:spacing w:line="56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keepNext w:val="0"/>
        <w:keepLines w:val="0"/>
        <w:pageBreakBefore w:val="0"/>
        <w:kinsoku/>
        <w:wordWrap/>
        <w:overflowPunct/>
        <w:topLinePunct w:val="0"/>
        <w:autoSpaceDE/>
        <w:autoSpaceDN/>
        <w:bidi w:val="0"/>
        <w:spacing w:line="56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keepNext w:val="0"/>
        <w:keepLines w:val="0"/>
        <w:pageBreakBefore w:val="0"/>
        <w:kinsoku/>
        <w:wordWrap/>
        <w:overflowPunct/>
        <w:topLinePunct w:val="0"/>
        <w:autoSpaceDE/>
        <w:autoSpaceDN/>
        <w:bidi w:val="0"/>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进一步健全完善内控管理制度。2021年市妇联结合工作实际对原内控制度进行了修订和完善，共</w:t>
      </w:r>
      <w:r>
        <w:rPr>
          <w:rFonts w:hint="eastAsia" w:ascii="仿宋_GB2312" w:eastAsia="仿宋_GB2312"/>
          <w:sz w:val="32"/>
          <w:szCs w:val="32"/>
        </w:rPr>
        <w:t>修改了19个制度，修改数量超过50章100条。修改较多的涉及预算管理、项目管理、采购管理、合同管理等制度。新增5个制度，包括新制定的内部审计工作规定、调研课题管理办法、购买社会组织服务项目实施细则、公务租车管理办法，以及修订的第十四届主席办公会会议规则。</w:t>
      </w:r>
    </w:p>
    <w:p>
      <w:pPr>
        <w:keepNext w:val="0"/>
        <w:keepLines w:val="0"/>
        <w:pageBreakBefore w:val="0"/>
        <w:numPr>
          <w:ilvl w:val="0"/>
          <w:numId w:val="0"/>
        </w:numPr>
        <w:kinsoku/>
        <w:wordWrap/>
        <w:overflowPunct/>
        <w:topLinePunct w:val="0"/>
        <w:autoSpaceDE/>
        <w:autoSpaceDN/>
        <w:bidi w:val="0"/>
        <w:spacing w:line="560" w:lineRule="exact"/>
        <w:ind w:left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2.</w:t>
      </w: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pPr>
        <w:keepNext w:val="0"/>
        <w:keepLines w:val="0"/>
        <w:pageBreakBefore w:val="0"/>
        <w:kinsoku/>
        <w:wordWrap/>
        <w:overflowPunct/>
        <w:topLinePunct w:val="0"/>
        <w:autoSpaceDE/>
        <w:autoSpaceDN/>
        <w:bidi w:val="0"/>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lang w:eastAsia="zh-CN"/>
        </w:rPr>
        <w:t>严格按规定按程序使用资金。</w:t>
      </w:r>
      <w:r>
        <w:rPr>
          <w:rFonts w:hint="eastAsia" w:ascii="仿宋_GB2312" w:eastAsia="仿宋_GB2312"/>
          <w:sz w:val="32"/>
          <w:szCs w:val="32"/>
        </w:rPr>
        <w:t>市妇联各项支出严格按照市财政局预算批复的支出范围、开支标准以及《北京市妇联财务管理制度》执行。各项支出按照“逐级申报、逐级审批、合理授权”的方式，严格执行内部控制规范和支出审批程序。对于单项或批量金额在15万元（含）以上的公务支出，实行大额资金支出集体决策制度</w:t>
      </w:r>
      <w:r>
        <w:rPr>
          <w:rFonts w:hint="eastAsia" w:ascii="仿宋_GB2312" w:eastAsia="仿宋_GB2312"/>
          <w:sz w:val="32"/>
          <w:szCs w:val="32"/>
          <w:lang w:eastAsia="zh-CN"/>
        </w:rPr>
        <w:t>；</w:t>
      </w:r>
      <w:r>
        <w:rPr>
          <w:rFonts w:hint="eastAsia" w:ascii="仿宋_GB2312" w:eastAsia="仿宋_GB2312"/>
          <w:sz w:val="32"/>
          <w:szCs w:val="32"/>
        </w:rPr>
        <w:t>严格执行北京市国库集中支付制度和政府采购制度等有关规定。</w:t>
      </w:r>
    </w:p>
    <w:p>
      <w:pPr>
        <w:keepNext w:val="0"/>
        <w:keepLines w:val="0"/>
        <w:pageBreakBefore w:val="0"/>
        <w:numPr>
          <w:ilvl w:val="0"/>
          <w:numId w:val="0"/>
        </w:numPr>
        <w:kinsoku/>
        <w:wordWrap/>
        <w:overflowPunct/>
        <w:topLinePunct w:val="0"/>
        <w:autoSpaceDE/>
        <w:autoSpaceDN/>
        <w:bidi w:val="0"/>
        <w:spacing w:line="560" w:lineRule="exact"/>
        <w:ind w:left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keepNext w:val="0"/>
        <w:keepLines w:val="0"/>
        <w:pageBreakBefore w:val="0"/>
        <w:widowControl w:val="0"/>
        <w:tabs>
          <w:tab w:val="left" w:pos="1843"/>
        </w:tabs>
        <w:kinsoku/>
        <w:wordWrap/>
        <w:overflowPunct/>
        <w:topLinePunct w:val="0"/>
        <w:autoSpaceDE/>
        <w:autoSpaceDN/>
        <w:bidi w:val="0"/>
        <w:adjustRightInd/>
        <w:snapToGrid/>
        <w:spacing w:line="560" w:lineRule="exact"/>
        <w:textAlignment w:val="auto"/>
        <w:rPr>
          <w:rFonts w:hint="default" w:eastAsia="宋体"/>
          <w:lang w:val="en-US" w:eastAsia="zh-CN"/>
        </w:rPr>
      </w:pPr>
      <w:r>
        <w:rPr>
          <w:rFonts w:hint="eastAsia"/>
          <w:lang w:val="en-US" w:eastAsia="zh-CN"/>
        </w:rPr>
        <w:t xml:space="preserve">   </w:t>
      </w:r>
      <w:r>
        <w:rPr>
          <w:rFonts w:hint="eastAsia" w:ascii="仿宋_GB2312" w:eastAsia="仿宋_GB2312"/>
          <w:sz w:val="32"/>
          <w:szCs w:val="32"/>
          <w:lang w:val="en-US" w:eastAsia="zh-CN"/>
        </w:rPr>
        <w:t xml:space="preserve"> 加强会计基础工作，提高会计信息质量。市妇联</w:t>
      </w:r>
      <w:r>
        <w:rPr>
          <w:rFonts w:hint="eastAsia" w:ascii="仿宋_GB2312" w:eastAsia="仿宋_GB2312"/>
          <w:sz w:val="32"/>
          <w:szCs w:val="32"/>
        </w:rPr>
        <w:t>按照规定设置会计账簿，根据实际发生的业务事项进行会计核算，填制会计凭证，登记会计账簿，编制财务会计报告。定期或者不定期的对资产进行账务清理、对实物进行清查盘点。办公室财务负责往来款项的日常管理，设立登记往来款项的备查账，对现已形成的债权债务进行定期清理，并对往来款项的性质予以归类。</w:t>
      </w:r>
    </w:p>
    <w:p>
      <w:pPr>
        <w:keepNext w:val="0"/>
        <w:keepLines w:val="0"/>
        <w:pageBreakBefore w:val="0"/>
        <w:numPr>
          <w:ilvl w:val="0"/>
          <w:numId w:val="1"/>
        </w:numPr>
        <w:kinsoku/>
        <w:wordWrap/>
        <w:overflowPunct/>
        <w:topLinePunct w:val="0"/>
        <w:autoSpaceDE/>
        <w:autoSpaceDN/>
        <w:bidi w:val="0"/>
        <w:spacing w:line="56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outlineLvl w:val="9"/>
        <w:rPr>
          <w:rFonts w:hint="default" w:eastAsia="宋体"/>
          <w:lang w:val="en-US" w:eastAsia="zh-CN"/>
        </w:rPr>
      </w:pPr>
      <w:r>
        <w:rPr>
          <w:rFonts w:hint="eastAsia"/>
          <w:lang w:val="en-US" w:eastAsia="zh-CN"/>
        </w:rPr>
        <w:t xml:space="preserve">  </w:t>
      </w:r>
      <w:r>
        <w:rPr>
          <w:rFonts w:hint="eastAsia" w:ascii="仿宋_GB2312" w:hAnsi="Times New Roman" w:eastAsia="仿宋_GB2312" w:cs="Times New Roman"/>
          <w:kern w:val="2"/>
          <w:sz w:val="32"/>
          <w:szCs w:val="32"/>
          <w:lang w:val="en-US" w:eastAsia="zh-CN" w:bidi="ar-SA"/>
        </w:rPr>
        <w:t xml:space="preserve"> 修订资产管理办法，提升资产管理水平。市妇联</w:t>
      </w:r>
      <w:r>
        <w:rPr>
          <w:rFonts w:hint="eastAsia" w:ascii="仿宋_GB2312" w:hAnsi="楷体" w:eastAsia="仿宋_GB2312" w:cs="Times New Roman"/>
          <w:kern w:val="0"/>
          <w:sz w:val="32"/>
          <w:szCs w:val="32"/>
          <w:lang w:val="en-US" w:eastAsia="zh-CN" w:bidi="ar-SA"/>
        </w:rPr>
        <w:t>现行的资产管理办法于2021年进行重新修订，根据审计、财政检查中发现的问题对包括固定资产管理办法在内的内控制度再次进行修订，进一步明确资产归口管理部门，确定资产分级管理职责。并根据固定资产管理实际情况，在固定资产管理办法修订中</w:t>
      </w:r>
      <w:r>
        <w:rPr>
          <w:rFonts w:hint="default" w:ascii="仿宋_GB2312" w:hAnsi="楷体" w:eastAsia="仿宋_GB2312" w:cs="Times New Roman"/>
          <w:kern w:val="0"/>
          <w:sz w:val="32"/>
          <w:szCs w:val="32"/>
          <w:lang w:val="en-US" w:eastAsia="zh-CN" w:bidi="ar-SA"/>
        </w:rPr>
        <w:t>针对固定资产验收登记、领用移交、清查盘点等重点环节，查漏补缺，</w:t>
      </w:r>
      <w:r>
        <w:rPr>
          <w:rFonts w:hint="eastAsia" w:ascii="仿宋_GB2312" w:hAnsi="楷体" w:eastAsia="仿宋_GB2312" w:cs="Times New Roman"/>
          <w:kern w:val="0"/>
          <w:sz w:val="32"/>
          <w:szCs w:val="32"/>
          <w:lang w:val="en-US" w:eastAsia="zh-CN" w:bidi="ar-SA"/>
        </w:rPr>
        <w:t>细化管理流</w:t>
      </w:r>
      <w:r>
        <w:rPr>
          <w:rFonts w:hint="default" w:ascii="仿宋_GB2312" w:hAnsi="楷体" w:eastAsia="仿宋_GB2312" w:cs="Times New Roman"/>
          <w:kern w:val="0"/>
          <w:sz w:val="32"/>
          <w:szCs w:val="32"/>
          <w:lang w:val="en-US" w:eastAsia="zh-CN" w:bidi="ar-SA"/>
        </w:rPr>
        <w:t>程，</w:t>
      </w:r>
      <w:r>
        <w:rPr>
          <w:rFonts w:hint="eastAsia" w:ascii="仿宋_GB2312" w:hAnsi="楷体" w:eastAsia="仿宋_GB2312" w:cs="Times New Roman"/>
          <w:kern w:val="0"/>
          <w:sz w:val="32"/>
          <w:szCs w:val="32"/>
          <w:lang w:val="en-US" w:eastAsia="zh-CN" w:bidi="ar-SA"/>
        </w:rPr>
        <w:t>尤其明确了对人员内部岗位调整、外部调入调离涉及的资产管理程序，</w:t>
      </w:r>
      <w:r>
        <w:rPr>
          <w:rFonts w:hint="default" w:ascii="仿宋_GB2312" w:hAnsi="楷体" w:eastAsia="仿宋_GB2312" w:cs="Times New Roman"/>
          <w:kern w:val="0"/>
          <w:sz w:val="32"/>
          <w:szCs w:val="32"/>
          <w:lang w:val="en-US" w:eastAsia="zh-CN" w:bidi="ar-SA"/>
        </w:rPr>
        <w:t>确保流程</w:t>
      </w:r>
      <w:r>
        <w:rPr>
          <w:rFonts w:hint="eastAsia" w:ascii="仿宋_GB2312" w:hAnsi="楷体" w:eastAsia="仿宋_GB2312" w:cs="Times New Roman"/>
          <w:kern w:val="0"/>
          <w:sz w:val="32"/>
          <w:szCs w:val="32"/>
          <w:lang w:val="en-US" w:eastAsia="zh-CN" w:bidi="ar-SA"/>
        </w:rPr>
        <w:t>可操作，</w:t>
      </w:r>
      <w:r>
        <w:rPr>
          <w:rFonts w:hint="default" w:ascii="仿宋_GB2312" w:hAnsi="楷体" w:eastAsia="仿宋_GB2312" w:cs="Times New Roman"/>
          <w:kern w:val="0"/>
          <w:sz w:val="32"/>
          <w:szCs w:val="32"/>
          <w:lang w:val="en-US" w:eastAsia="zh-CN" w:bidi="ar-SA"/>
        </w:rPr>
        <w:t>管理规范</w:t>
      </w:r>
      <w:r>
        <w:rPr>
          <w:rFonts w:hint="eastAsia" w:ascii="仿宋_GB2312" w:hAnsi="楷体" w:eastAsia="仿宋_GB2312" w:cs="Times New Roman"/>
          <w:kern w:val="0"/>
          <w:sz w:val="32"/>
          <w:szCs w:val="32"/>
          <w:lang w:val="en-US" w:eastAsia="zh-CN" w:bidi="ar-SA"/>
        </w:rPr>
        <w:t>，</w:t>
      </w:r>
      <w:r>
        <w:rPr>
          <w:rFonts w:hint="default" w:ascii="仿宋_GB2312" w:hAnsi="楷体" w:eastAsia="仿宋_GB2312" w:cs="Times New Roman"/>
          <w:kern w:val="0"/>
          <w:sz w:val="32"/>
          <w:szCs w:val="32"/>
          <w:lang w:val="en-US" w:eastAsia="zh-CN" w:bidi="ar-SA"/>
        </w:rPr>
        <w:t>责任</w:t>
      </w:r>
      <w:r>
        <w:rPr>
          <w:rFonts w:hint="eastAsia" w:ascii="仿宋_GB2312" w:hAnsi="楷体" w:eastAsia="仿宋_GB2312" w:cs="Times New Roman"/>
          <w:kern w:val="0"/>
          <w:sz w:val="32"/>
          <w:szCs w:val="32"/>
          <w:lang w:val="en-US" w:eastAsia="zh-CN" w:bidi="ar-SA"/>
        </w:rPr>
        <w:t>到位</w:t>
      </w:r>
      <w:r>
        <w:rPr>
          <w:rFonts w:hint="default" w:ascii="仿宋_GB2312" w:hAnsi="楷体" w:eastAsia="仿宋_GB2312" w:cs="Times New Roman"/>
          <w:kern w:val="0"/>
          <w:sz w:val="32"/>
          <w:szCs w:val="32"/>
          <w:lang w:val="en-US" w:eastAsia="zh-CN" w:bidi="ar-SA"/>
        </w:rPr>
        <w:t>。</w:t>
      </w:r>
      <w:r>
        <w:rPr>
          <w:rFonts w:hint="eastAsia" w:ascii="仿宋_GB2312" w:hAnsi="楷体" w:eastAsia="仿宋_GB2312" w:cs="Times New Roman"/>
          <w:kern w:val="0"/>
          <w:sz w:val="32"/>
          <w:szCs w:val="32"/>
          <w:lang w:val="en-US" w:eastAsia="zh-CN" w:bidi="ar-SA"/>
        </w:rPr>
        <w:t>制度的重新修订完善有效促进了市妇联资产管理水平的提升。</w:t>
      </w:r>
    </w:p>
    <w:p>
      <w:pPr>
        <w:keepNext w:val="0"/>
        <w:keepLines w:val="0"/>
        <w:pageBreakBefore w:val="0"/>
        <w:numPr>
          <w:ilvl w:val="0"/>
          <w:numId w:val="1"/>
        </w:numPr>
        <w:kinsoku/>
        <w:wordWrap/>
        <w:overflowPunct/>
        <w:topLinePunct w:val="0"/>
        <w:autoSpaceDE/>
        <w:autoSpaceDN/>
        <w:bidi w:val="0"/>
        <w:spacing w:line="56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keepNext w:val="0"/>
        <w:keepLines w:val="0"/>
        <w:pageBreakBefore w:val="0"/>
        <w:numPr>
          <w:ilvl w:val="0"/>
          <w:numId w:val="0"/>
        </w:numPr>
        <w:kinsoku/>
        <w:wordWrap/>
        <w:overflowPunct/>
        <w:topLinePunct w:val="0"/>
        <w:autoSpaceDE/>
        <w:autoSpaceDN/>
        <w:bidi w:val="0"/>
        <w:adjustRightInd w:val="0"/>
        <w:spacing w:line="560" w:lineRule="exact"/>
        <w:ind w:firstLine="420" w:firstLineChars="200"/>
        <w:jc w:val="both"/>
        <w:rPr>
          <w:rFonts w:hint="default" w:eastAsia="宋体"/>
          <w:lang w:val="en-US" w:eastAsia="zh-CN"/>
        </w:rPr>
      </w:pPr>
      <w:r>
        <w:rPr>
          <w:rFonts w:hint="eastAsia"/>
          <w:lang w:val="en-US" w:eastAsia="zh-CN"/>
        </w:rPr>
        <w:t xml:space="preserve">   </w:t>
      </w:r>
      <w:r>
        <w:rPr>
          <w:rFonts w:hint="eastAsia" w:ascii="仿宋_GB2312" w:hAnsi="楷体" w:eastAsia="仿宋_GB2312" w:cs="Times New Roman"/>
          <w:kern w:val="0"/>
          <w:sz w:val="32"/>
          <w:szCs w:val="32"/>
          <w:lang w:val="en-US" w:eastAsia="zh-CN" w:bidi="ar-SA"/>
        </w:rPr>
        <w:t>加大绩效评价工作力度，促进绩</w:t>
      </w:r>
      <w:r>
        <w:rPr>
          <w:rFonts w:hint="eastAsia" w:ascii="仿宋_GB2312" w:hAnsi="仿宋" w:eastAsia="仿宋_GB2312"/>
          <w:sz w:val="32"/>
          <w:szCs w:val="32"/>
        </w:rPr>
        <w:t>效管理</w:t>
      </w:r>
      <w:r>
        <w:rPr>
          <w:rFonts w:hint="eastAsia" w:ascii="仿宋_GB2312" w:eastAsia="仿宋_GB2312"/>
          <w:sz w:val="32"/>
          <w:szCs w:val="32"/>
        </w:rPr>
        <w:t>水平提升。2021年市妇联</w:t>
      </w:r>
      <w:r>
        <w:rPr>
          <w:rFonts w:hint="eastAsia" w:ascii="仿宋_GB2312" w:hAnsi="仿宋" w:eastAsia="仿宋_GB2312"/>
          <w:sz w:val="32"/>
          <w:szCs w:val="32"/>
          <w:lang w:eastAsia="zh-CN"/>
        </w:rPr>
        <w:t>开展</w:t>
      </w:r>
      <w:r>
        <w:rPr>
          <w:rFonts w:hint="eastAsia" w:ascii="仿宋_GB2312" w:eastAsia="仿宋_GB2312"/>
          <w:sz w:val="32"/>
          <w:szCs w:val="32"/>
        </w:rPr>
        <w:t>项目绩效评审工作3次，包括对上年项目开展绩效评价、绩效成本分析工作，以及对本年项目的跟踪绩效工作</w:t>
      </w:r>
      <w:r>
        <w:rPr>
          <w:rFonts w:hint="eastAsia" w:ascii="仿宋_GB2312" w:hAnsi="仿宋" w:eastAsia="仿宋_GB2312"/>
          <w:sz w:val="32"/>
          <w:szCs w:val="32"/>
        </w:rPr>
        <w:t>。</w:t>
      </w:r>
      <w:r>
        <w:rPr>
          <w:rFonts w:hint="eastAsia" w:ascii="仿宋_GB2312" w:eastAsia="仿宋_GB2312"/>
          <w:sz w:val="32"/>
          <w:szCs w:val="32"/>
          <w:lang w:eastAsia="zh-CN"/>
        </w:rPr>
        <w:t>加强问题整改落实和结果应用，</w:t>
      </w:r>
      <w:r>
        <w:rPr>
          <w:rFonts w:hint="eastAsia" w:ascii="仿宋_GB2312" w:eastAsia="仿宋_GB2312"/>
          <w:sz w:val="32"/>
          <w:szCs w:val="32"/>
          <w:lang w:val="en-US" w:eastAsia="zh-CN"/>
        </w:rPr>
        <w:t>要求各部门</w:t>
      </w:r>
      <w:r>
        <w:rPr>
          <w:rFonts w:hint="eastAsia" w:ascii="仿宋_GB2312" w:hAnsi="仿宋" w:eastAsia="仿宋_GB2312" w:cs="Times New Roman"/>
          <w:kern w:val="2"/>
          <w:sz w:val="32"/>
          <w:szCs w:val="32"/>
          <w:lang w:val="en-US" w:eastAsia="zh-CN" w:bidi="ar"/>
        </w:rPr>
        <w:t>在总结往年绩效评价存在问题及经验的基础上进行整改，科学制定绩效目标，加强项目执行管理，注重相关资料的收集和整理，在突出项目“绩”、“效”方面多做工作</w:t>
      </w:r>
      <w:r>
        <w:rPr>
          <w:rFonts w:hint="eastAsia" w:ascii="仿宋_GB2312" w:eastAsia="仿宋_GB2312"/>
          <w:color w:val="auto"/>
          <w:sz w:val="32"/>
          <w:szCs w:val="32"/>
        </w:rPr>
        <w:t>。</w:t>
      </w:r>
      <w:r>
        <w:rPr>
          <w:rFonts w:hint="eastAsia" w:ascii="仿宋_GB2312" w:eastAsia="仿宋_GB2312"/>
          <w:sz w:val="32"/>
          <w:szCs w:val="32"/>
        </w:rPr>
        <w:t>此外，两次开展财务管理和绩效管理的培训工作，并在预算编制阶段聘请专家老师对项目预算和绩效目标的填报给予指导并提供咨询服务，</w:t>
      </w:r>
      <w:r>
        <w:rPr>
          <w:rFonts w:hint="eastAsia" w:ascii="仿宋_GB2312" w:hAnsi="仿宋" w:eastAsia="仿宋_GB2312"/>
          <w:sz w:val="32"/>
          <w:szCs w:val="32"/>
        </w:rPr>
        <w:t>进一步提高了预算编制和绩效目标的科学性和准确性，</w:t>
      </w:r>
      <w:r>
        <w:rPr>
          <w:rFonts w:hint="eastAsia" w:ascii="仿宋_GB2312" w:hAnsi="仿宋" w:eastAsia="仿宋_GB2312"/>
          <w:sz w:val="32"/>
          <w:szCs w:val="32"/>
          <w:lang w:eastAsia="zh-CN"/>
        </w:rPr>
        <w:t>有力</w:t>
      </w:r>
      <w:r>
        <w:rPr>
          <w:rFonts w:hint="eastAsia" w:ascii="仿宋_GB2312" w:hAnsi="仿宋" w:eastAsia="仿宋_GB2312"/>
          <w:sz w:val="32"/>
          <w:szCs w:val="32"/>
        </w:rPr>
        <w:t>促进</w:t>
      </w:r>
      <w:r>
        <w:rPr>
          <w:rFonts w:hint="eastAsia" w:ascii="仿宋_GB2312" w:eastAsia="仿宋_GB2312"/>
          <w:sz w:val="32"/>
          <w:szCs w:val="32"/>
        </w:rPr>
        <w:t>我会绩效管理水平</w:t>
      </w:r>
      <w:r>
        <w:rPr>
          <w:rFonts w:hint="eastAsia" w:ascii="仿宋_GB2312" w:eastAsia="仿宋_GB2312"/>
          <w:sz w:val="32"/>
          <w:szCs w:val="32"/>
          <w:lang w:eastAsia="zh-CN"/>
        </w:rPr>
        <w:t>提升</w:t>
      </w:r>
      <w:r>
        <w:rPr>
          <w:rFonts w:hint="eastAsia" w:ascii="仿宋_GB2312" w:hAnsi="仿宋" w:eastAsia="仿宋_GB2312"/>
          <w:sz w:val="32"/>
          <w:szCs w:val="32"/>
        </w:rPr>
        <w:t>。</w:t>
      </w:r>
    </w:p>
    <w:p>
      <w:pPr>
        <w:keepNext w:val="0"/>
        <w:keepLines w:val="0"/>
        <w:pageBreakBefore w:val="0"/>
        <w:numPr>
          <w:ilvl w:val="0"/>
          <w:numId w:val="1"/>
        </w:numPr>
        <w:kinsoku/>
        <w:wordWrap/>
        <w:overflowPunct/>
        <w:topLinePunct w:val="0"/>
        <w:autoSpaceDE/>
        <w:autoSpaceDN/>
        <w:bidi w:val="0"/>
        <w:spacing w:line="56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结转结余率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市妇联</w:t>
      </w:r>
      <w:r>
        <w:rPr>
          <w:rFonts w:hint="eastAsia" w:ascii="仿宋_GB2312" w:hAnsi="仿宋" w:eastAsia="仿宋_GB2312"/>
          <w:sz w:val="32"/>
          <w:szCs w:val="32"/>
          <w:lang w:val="en-US" w:eastAsia="zh-CN"/>
        </w:rPr>
        <w:t>2021</w:t>
      </w:r>
      <w:r>
        <w:rPr>
          <w:rFonts w:hint="eastAsia" w:ascii="仿宋_GB2312" w:hAnsi="仿宋" w:eastAsia="仿宋_GB2312"/>
          <w:sz w:val="32"/>
          <w:szCs w:val="32"/>
        </w:rPr>
        <w:t>年度年末结转和结余资金</w:t>
      </w:r>
      <w:r>
        <w:rPr>
          <w:rFonts w:hint="eastAsia" w:ascii="仿宋_GB2312" w:hAnsi="仿宋" w:eastAsia="仿宋_GB2312"/>
          <w:sz w:val="32"/>
          <w:szCs w:val="32"/>
          <w:lang w:val="en-US" w:eastAsia="zh-CN"/>
        </w:rPr>
        <w:t>978.21</w:t>
      </w:r>
      <w:r>
        <w:rPr>
          <w:rFonts w:hint="eastAsia" w:ascii="仿宋_GB2312" w:hAnsi="仿宋" w:eastAsia="仿宋_GB2312"/>
          <w:sz w:val="32"/>
          <w:szCs w:val="32"/>
        </w:rPr>
        <w:t>万元，</w:t>
      </w:r>
      <w:r>
        <w:rPr>
          <w:rFonts w:hint="eastAsia" w:ascii="仿宋_GB2312" w:hAnsi="仿宋" w:eastAsia="仿宋_GB2312"/>
          <w:sz w:val="32"/>
          <w:szCs w:val="32"/>
          <w:lang w:eastAsia="zh-CN"/>
        </w:rPr>
        <w:t>结转结余率为</w:t>
      </w:r>
      <w:r>
        <w:rPr>
          <w:rFonts w:hint="eastAsia" w:ascii="仿宋_GB2312" w:hAnsi="仿宋" w:eastAsia="仿宋_GB2312"/>
          <w:sz w:val="32"/>
          <w:szCs w:val="32"/>
          <w:lang w:val="en-US" w:eastAsia="zh-CN"/>
        </w:rPr>
        <w:t>10.47%，全部为</w:t>
      </w:r>
      <w:r>
        <w:rPr>
          <w:rFonts w:hint="eastAsia" w:ascii="仿宋_GB2312" w:hAnsi="仿宋" w:eastAsia="仿宋_GB2312"/>
          <w:sz w:val="32"/>
          <w:szCs w:val="32"/>
        </w:rPr>
        <w:t>财政拨款资金结转结余</w:t>
      </w:r>
      <w:r>
        <w:rPr>
          <w:rFonts w:hint="eastAsia" w:ascii="仿宋_GB2312" w:hAnsi="仿宋" w:eastAsia="仿宋_GB2312"/>
          <w:sz w:val="32"/>
          <w:szCs w:val="32"/>
          <w:lang w:eastAsia="zh-CN"/>
        </w:rPr>
        <w:t>，</w:t>
      </w:r>
      <w:r>
        <w:rPr>
          <w:rFonts w:hint="eastAsia" w:ascii="仿宋_GB2312" w:hAnsi="仿宋" w:eastAsia="仿宋_GB2312"/>
          <w:sz w:val="32"/>
          <w:szCs w:val="32"/>
        </w:rPr>
        <w:t>基本</w:t>
      </w:r>
      <w:r>
        <w:rPr>
          <w:rFonts w:hint="eastAsia" w:ascii="仿宋_GB2312" w:hAnsi="仿宋" w:eastAsia="仿宋_GB2312"/>
          <w:sz w:val="32"/>
          <w:szCs w:val="32"/>
          <w:lang w:eastAsia="zh-CN"/>
        </w:rPr>
        <w:t>经费</w:t>
      </w:r>
      <w:r>
        <w:rPr>
          <w:rFonts w:hint="eastAsia" w:ascii="仿宋_GB2312" w:hAnsi="仿宋" w:eastAsia="仿宋_GB2312"/>
          <w:sz w:val="32"/>
          <w:szCs w:val="32"/>
        </w:rPr>
        <w:t>结转</w:t>
      </w:r>
      <w:r>
        <w:rPr>
          <w:rFonts w:hint="eastAsia" w:ascii="仿宋_GB2312" w:hAnsi="仿宋" w:eastAsia="仿宋_GB2312"/>
          <w:sz w:val="32"/>
          <w:szCs w:val="32"/>
          <w:lang w:val="en-US" w:eastAsia="zh-CN"/>
        </w:rPr>
        <w:t>138.77</w:t>
      </w:r>
      <w:r>
        <w:rPr>
          <w:rFonts w:hint="eastAsia" w:ascii="仿宋_GB2312" w:hAnsi="仿宋" w:eastAsia="仿宋_GB2312"/>
          <w:sz w:val="32"/>
          <w:szCs w:val="32"/>
          <w:lang w:eastAsia="zh-CN"/>
        </w:rPr>
        <w:t>万元，</w:t>
      </w:r>
      <w:r>
        <w:rPr>
          <w:rFonts w:hint="eastAsia" w:ascii="仿宋_GB2312" w:hAnsi="仿宋" w:eastAsia="仿宋_GB2312"/>
          <w:sz w:val="32"/>
          <w:szCs w:val="32"/>
        </w:rPr>
        <w:t>项目</w:t>
      </w:r>
      <w:r>
        <w:rPr>
          <w:rFonts w:hint="eastAsia" w:ascii="仿宋_GB2312" w:hAnsi="仿宋" w:eastAsia="仿宋_GB2312"/>
          <w:sz w:val="32"/>
          <w:szCs w:val="32"/>
          <w:lang w:eastAsia="zh-CN"/>
        </w:rPr>
        <w:t>经费</w:t>
      </w:r>
      <w:r>
        <w:rPr>
          <w:rFonts w:hint="eastAsia" w:ascii="仿宋_GB2312" w:hAnsi="仿宋" w:eastAsia="仿宋_GB2312"/>
          <w:sz w:val="32"/>
          <w:szCs w:val="32"/>
        </w:rPr>
        <w:t>结转和结余</w:t>
      </w:r>
      <w:r>
        <w:rPr>
          <w:rFonts w:hint="eastAsia" w:ascii="仿宋_GB2312" w:hAnsi="仿宋" w:eastAsia="仿宋_GB2312"/>
          <w:sz w:val="32"/>
          <w:szCs w:val="32"/>
          <w:lang w:val="en-US" w:eastAsia="zh-CN"/>
        </w:rPr>
        <w:t>839.44</w:t>
      </w:r>
      <w:r>
        <w:rPr>
          <w:rFonts w:hint="eastAsia" w:ascii="仿宋_GB2312" w:hAnsi="仿宋" w:eastAsia="仿宋_GB2312"/>
          <w:sz w:val="32"/>
          <w:szCs w:val="32"/>
        </w:rPr>
        <w:t>万元</w:t>
      </w:r>
      <w:r>
        <w:rPr>
          <w:rFonts w:hint="eastAsia" w:ascii="仿宋_GB2312" w:hAnsi="仿宋" w:eastAsia="仿宋_GB2312"/>
          <w:sz w:val="32"/>
          <w:szCs w:val="32"/>
          <w:lang w:eastAsia="zh-CN"/>
        </w:rPr>
        <w:t>，其中</w:t>
      </w:r>
      <w:r>
        <w:rPr>
          <w:rFonts w:hint="eastAsia" w:ascii="仿宋_GB2312" w:hAnsi="仿宋" w:eastAsia="仿宋_GB2312"/>
          <w:sz w:val="32"/>
          <w:szCs w:val="32"/>
        </w:rPr>
        <w:t>项目</w:t>
      </w:r>
      <w:r>
        <w:rPr>
          <w:rFonts w:hint="eastAsia" w:ascii="仿宋_GB2312" w:hAnsi="仿宋" w:eastAsia="仿宋_GB2312"/>
          <w:sz w:val="32"/>
          <w:szCs w:val="32"/>
          <w:lang w:eastAsia="zh-CN"/>
        </w:rPr>
        <w:t>经费</w:t>
      </w:r>
      <w:r>
        <w:rPr>
          <w:rFonts w:hint="eastAsia" w:ascii="仿宋_GB2312" w:hAnsi="仿宋" w:eastAsia="仿宋_GB2312"/>
          <w:sz w:val="32"/>
          <w:szCs w:val="32"/>
        </w:rPr>
        <w:t>结转</w:t>
      </w:r>
      <w:r>
        <w:rPr>
          <w:rFonts w:hint="eastAsia" w:ascii="仿宋_GB2312" w:hAnsi="仿宋" w:eastAsia="仿宋_GB2312"/>
          <w:sz w:val="32"/>
          <w:szCs w:val="32"/>
          <w:lang w:val="en-US" w:eastAsia="zh-CN"/>
        </w:rPr>
        <w:t>807.24万元，项目经费结余32.20万元。2021</w:t>
      </w:r>
      <w:r>
        <w:rPr>
          <w:rFonts w:hint="eastAsia" w:ascii="仿宋_GB2312" w:hAnsi="仿宋" w:eastAsia="仿宋_GB2312"/>
          <w:sz w:val="32"/>
          <w:szCs w:val="32"/>
        </w:rPr>
        <w:t>年度结转和结余规模较大的是</w:t>
      </w:r>
      <w:r>
        <w:rPr>
          <w:rFonts w:hint="eastAsia" w:ascii="仿宋_GB2312" w:hAnsi="仿宋" w:eastAsia="仿宋_GB2312"/>
          <w:color w:val="000000"/>
          <w:sz w:val="32"/>
          <w:szCs w:val="32"/>
        </w:rPr>
        <w:t>项目</w:t>
      </w:r>
      <w:r>
        <w:rPr>
          <w:rFonts w:hint="eastAsia" w:ascii="仿宋_GB2312" w:hAnsi="仿宋" w:eastAsia="仿宋_GB2312"/>
          <w:color w:val="000000"/>
          <w:sz w:val="32"/>
          <w:szCs w:val="32"/>
          <w:lang w:eastAsia="zh-CN"/>
        </w:rPr>
        <w:t>经费</w:t>
      </w:r>
      <w:r>
        <w:rPr>
          <w:rFonts w:hint="eastAsia" w:ascii="仿宋_GB2312" w:hAnsi="仿宋" w:eastAsia="仿宋_GB2312" w:cs="Times New Roman"/>
          <w:color w:val="000000"/>
          <w:kern w:val="2"/>
          <w:sz w:val="32"/>
          <w:szCs w:val="32"/>
          <w:lang w:val="en-US" w:eastAsia="zh-CN"/>
        </w:rPr>
        <w:t>839.44</w:t>
      </w:r>
      <w:r>
        <w:rPr>
          <w:rFonts w:hint="eastAsia" w:ascii="仿宋_GB2312" w:hAnsi="仿宋" w:eastAsia="仿宋_GB2312"/>
          <w:sz w:val="32"/>
          <w:szCs w:val="32"/>
        </w:rPr>
        <w:t>万元，占结转结余资金的</w:t>
      </w:r>
      <w:r>
        <w:rPr>
          <w:rFonts w:hint="eastAsia" w:ascii="仿宋_GB2312" w:hAnsi="仿宋" w:eastAsia="仿宋_GB2312"/>
          <w:sz w:val="32"/>
          <w:szCs w:val="32"/>
          <w:lang w:val="en-US" w:eastAsia="zh-CN"/>
        </w:rPr>
        <w:t>85.81</w:t>
      </w:r>
      <w:r>
        <w:rPr>
          <w:rFonts w:hint="eastAsia" w:ascii="仿宋_GB2312" w:hAnsi="仿宋" w:eastAsia="仿宋_GB2312"/>
          <w:sz w:val="32"/>
          <w:szCs w:val="32"/>
        </w:rPr>
        <w:t>%，主要是由于</w:t>
      </w:r>
      <w:r>
        <w:rPr>
          <w:rFonts w:hint="eastAsia" w:ascii="仿宋_GB2312" w:hAnsi="仿宋" w:eastAsia="仿宋_GB2312"/>
          <w:sz w:val="32"/>
          <w:szCs w:val="32"/>
          <w:lang w:eastAsia="zh-CN"/>
        </w:rPr>
        <w:t>本级年底追加</w:t>
      </w:r>
      <w:r>
        <w:rPr>
          <w:rFonts w:hint="eastAsia" w:ascii="仿宋_GB2312" w:hAnsi="仿宋" w:eastAsia="仿宋_GB2312"/>
          <w:sz w:val="32"/>
          <w:szCs w:val="32"/>
          <w:lang w:val="en-US" w:eastAsia="zh-CN"/>
        </w:rPr>
        <w:t>活动物资保障经费</w:t>
      </w:r>
      <w:r>
        <w:rPr>
          <w:rFonts w:hint="eastAsia" w:ascii="仿宋_GB2312" w:hAnsi="仿宋" w:eastAsia="仿宋_GB2312"/>
          <w:sz w:val="32"/>
          <w:szCs w:val="32"/>
        </w:rPr>
        <w:t>；</w:t>
      </w:r>
      <w:r>
        <w:rPr>
          <w:rFonts w:hint="eastAsia" w:ascii="仿宋_GB2312" w:hAnsi="仿宋" w:eastAsia="仿宋_GB2312"/>
          <w:sz w:val="32"/>
          <w:szCs w:val="32"/>
          <w:lang w:eastAsia="zh-CN"/>
        </w:rPr>
        <w:t>基本经费</w:t>
      </w:r>
      <w:r>
        <w:rPr>
          <w:rFonts w:ascii="仿宋_GB2312" w:hAnsi="仿宋" w:eastAsia="仿宋_GB2312" w:cs="Times New Roman"/>
          <w:color w:val="000000"/>
          <w:kern w:val="2"/>
          <w:sz w:val="32"/>
          <w:szCs w:val="32"/>
        </w:rPr>
        <w:t>结转和</w:t>
      </w:r>
      <w:r>
        <w:rPr>
          <w:rFonts w:hint="eastAsia" w:ascii="仿宋_GB2312" w:hAnsi="仿宋" w:eastAsia="仿宋_GB2312"/>
          <w:sz w:val="32"/>
          <w:szCs w:val="32"/>
        </w:rPr>
        <w:t>结余</w:t>
      </w:r>
      <w:r>
        <w:rPr>
          <w:rFonts w:hint="eastAsia" w:ascii="仿宋_GB2312" w:hAnsi="仿宋" w:eastAsia="仿宋_GB2312"/>
          <w:sz w:val="32"/>
          <w:szCs w:val="32"/>
          <w:lang w:val="en-US" w:eastAsia="zh-CN"/>
        </w:rPr>
        <w:t>138.77</w:t>
      </w:r>
      <w:r>
        <w:rPr>
          <w:rFonts w:hint="eastAsia" w:ascii="仿宋_GB2312" w:hAnsi="仿宋" w:eastAsia="仿宋_GB2312"/>
          <w:sz w:val="32"/>
          <w:szCs w:val="32"/>
        </w:rPr>
        <w:t>万元，主要是由于本年度人员变动较大，预留的人员经费年底剩余</w:t>
      </w:r>
      <w:r>
        <w:rPr>
          <w:rFonts w:hint="eastAsia" w:ascii="仿宋_GB2312" w:hAnsi="仿宋" w:eastAsia="仿宋_GB2312"/>
          <w:sz w:val="32"/>
          <w:szCs w:val="32"/>
          <w:lang w:eastAsia="zh-CN"/>
        </w:rPr>
        <w:t>，加之</w:t>
      </w:r>
      <w:r>
        <w:rPr>
          <w:rFonts w:hint="eastAsia" w:ascii="仿宋_GB2312" w:hAnsi="仿宋" w:eastAsia="仿宋_GB2312" w:cs="仿宋"/>
          <w:color w:val="000000"/>
          <w:sz w:val="32"/>
          <w:szCs w:val="32"/>
        </w:rPr>
        <w:t>贯彻“过紧日子”思想，公用经费</w:t>
      </w:r>
      <w:r>
        <w:rPr>
          <w:rFonts w:hint="eastAsia" w:ascii="仿宋_GB2312" w:hAnsi="仿宋" w:eastAsia="仿宋_GB2312" w:cs="仿宋"/>
          <w:color w:val="000000"/>
          <w:sz w:val="32"/>
          <w:szCs w:val="32"/>
          <w:lang w:eastAsia="zh-CN"/>
        </w:rPr>
        <w:t>使用留有剩余</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2021</w:t>
      </w:r>
      <w:r>
        <w:rPr>
          <w:rFonts w:hint="eastAsia" w:ascii="仿宋_GB2312" w:hAnsi="仿宋" w:eastAsia="仿宋_GB2312"/>
          <w:sz w:val="32"/>
          <w:szCs w:val="32"/>
        </w:rPr>
        <w:t>年财政拨款结转和结余资金</w:t>
      </w:r>
      <w:r>
        <w:rPr>
          <w:rFonts w:hint="eastAsia" w:ascii="仿宋_GB2312" w:hAnsi="仿宋" w:eastAsia="仿宋_GB2312"/>
          <w:sz w:val="32"/>
          <w:szCs w:val="32"/>
          <w:lang w:val="en-US" w:eastAsia="zh-CN"/>
        </w:rPr>
        <w:t>170.97</w:t>
      </w:r>
      <w:r>
        <w:rPr>
          <w:rFonts w:hint="eastAsia" w:ascii="仿宋_GB2312" w:hAnsi="仿宋" w:eastAsia="仿宋_GB2312"/>
          <w:sz w:val="32"/>
          <w:szCs w:val="32"/>
        </w:rPr>
        <w:t>万元</w:t>
      </w:r>
      <w:r>
        <w:rPr>
          <w:rFonts w:hint="eastAsia" w:ascii="仿宋_GB2312" w:hAnsi="仿宋" w:eastAsia="仿宋_GB2312"/>
          <w:sz w:val="32"/>
          <w:szCs w:val="32"/>
          <w:lang w:eastAsia="zh-CN"/>
        </w:rPr>
        <w:t>已</w:t>
      </w:r>
      <w:r>
        <w:rPr>
          <w:rFonts w:hint="eastAsia" w:ascii="仿宋_GB2312" w:hAnsi="仿宋" w:eastAsia="仿宋_GB2312"/>
          <w:sz w:val="32"/>
          <w:szCs w:val="32"/>
        </w:rPr>
        <w:t>由市财政按规定收回</w:t>
      </w:r>
      <w:r>
        <w:rPr>
          <w:rFonts w:hint="eastAsia" w:ascii="仿宋_GB2312" w:hAnsi="仿宋" w:eastAsia="仿宋_GB2312"/>
          <w:sz w:val="32"/>
          <w:szCs w:val="32"/>
          <w:lang w:eastAsia="zh-CN"/>
        </w:rPr>
        <w:t>，项目</w:t>
      </w:r>
      <w:r>
        <w:rPr>
          <w:rFonts w:hint="eastAsia" w:ascii="仿宋_GB2312" w:eastAsia="仿宋_GB2312"/>
          <w:sz w:val="32"/>
          <w:szCs w:val="32"/>
          <w:lang w:val="en-US" w:eastAsia="zh-CN"/>
        </w:rPr>
        <w:t>结转资金807.24万元正按计划支出。</w:t>
      </w:r>
    </w:p>
    <w:p>
      <w:pPr>
        <w:keepNext w:val="0"/>
        <w:keepLines w:val="0"/>
        <w:pageBreakBefore w:val="0"/>
        <w:numPr>
          <w:ilvl w:val="0"/>
          <w:numId w:val="1"/>
        </w:numPr>
        <w:kinsoku/>
        <w:wordWrap/>
        <w:overflowPunct/>
        <w:topLinePunct w:val="0"/>
        <w:autoSpaceDE/>
        <w:autoSpaceDN/>
        <w:bidi w:val="0"/>
        <w:spacing w:line="56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eastAsia="仿宋_GB2312"/>
          <w:lang w:val="en-US" w:eastAsia="zh-CN"/>
        </w:rPr>
      </w:pPr>
      <w:r>
        <w:rPr>
          <w:rFonts w:hint="eastAsia" w:ascii="仿宋_GB2312" w:hAnsi="仿宋" w:eastAsia="仿宋_GB2312"/>
          <w:sz w:val="32"/>
          <w:szCs w:val="32"/>
          <w:lang w:val="en-US" w:eastAsia="zh-CN"/>
        </w:rPr>
        <w:t>市妇联2021</w:t>
      </w:r>
      <w:r>
        <w:rPr>
          <w:rFonts w:hint="eastAsia" w:ascii="仿宋_GB2312" w:hAnsi="仿宋" w:eastAsia="仿宋_GB2312"/>
          <w:sz w:val="32"/>
          <w:szCs w:val="32"/>
        </w:rPr>
        <w:t>年</w:t>
      </w:r>
      <w:r>
        <w:rPr>
          <w:rFonts w:hint="eastAsia" w:ascii="仿宋_GB2312" w:hAnsi="仿宋" w:eastAsia="仿宋_GB2312"/>
          <w:sz w:val="32"/>
          <w:szCs w:val="32"/>
          <w:lang w:eastAsia="zh-CN"/>
        </w:rPr>
        <w:t>部门</w:t>
      </w:r>
      <w:r>
        <w:rPr>
          <w:rFonts w:hint="eastAsia" w:ascii="仿宋_GB2312" w:hAnsi="仿宋" w:eastAsia="仿宋_GB2312"/>
          <w:sz w:val="32"/>
          <w:szCs w:val="32"/>
        </w:rPr>
        <w:t>年初</w:t>
      </w:r>
      <w:r>
        <w:rPr>
          <w:rFonts w:hint="eastAsia" w:ascii="仿宋_GB2312" w:hAnsi="仿宋" w:eastAsia="仿宋_GB2312"/>
          <w:sz w:val="32"/>
          <w:szCs w:val="32"/>
          <w:lang w:eastAsia="zh-CN"/>
        </w:rPr>
        <w:t>预算</w:t>
      </w:r>
      <w:r>
        <w:rPr>
          <w:rFonts w:hint="eastAsia" w:ascii="仿宋_GB2312" w:hAnsi="仿宋" w:eastAsia="仿宋_GB2312"/>
          <w:sz w:val="32"/>
          <w:szCs w:val="32"/>
          <w:lang w:val="en-US" w:eastAsia="zh-CN"/>
        </w:rPr>
        <w:t>为</w:t>
      </w:r>
      <w:r>
        <w:rPr>
          <w:rFonts w:hint="eastAsia" w:ascii="仿宋_GB2312" w:hAnsi="仿宋" w:eastAsia="仿宋_GB2312"/>
          <w:sz w:val="32"/>
          <w:szCs w:val="32"/>
        </w:rPr>
        <w:t>88</w:t>
      </w:r>
      <w:r>
        <w:rPr>
          <w:rFonts w:hint="eastAsia" w:ascii="仿宋_GB2312" w:hAnsi="仿宋" w:eastAsia="仿宋_GB2312"/>
          <w:sz w:val="32"/>
          <w:szCs w:val="32"/>
          <w:lang w:val="en-US" w:eastAsia="zh-CN"/>
        </w:rPr>
        <w:t>65.16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部门年度决算为9344.16万元，部门预决算差异率为</w:t>
      </w:r>
      <w:r>
        <w:rPr>
          <w:rFonts w:hint="eastAsia" w:ascii="仿宋_GB2312" w:hAnsi="仿宋" w:eastAsia="仿宋_GB2312"/>
          <w:sz w:val="32"/>
          <w:szCs w:val="32"/>
        </w:rPr>
        <w:t>5.4</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部门预决算差异率低于市级平均差异率（28.30%），部门预决算差异率控制情况较好。</w:t>
      </w:r>
    </w:p>
    <w:p>
      <w:pPr>
        <w:keepNext w:val="0"/>
        <w:keepLines w:val="0"/>
        <w:pageBreakBefore w:val="0"/>
        <w:kinsoku/>
        <w:wordWrap/>
        <w:overflowPunct/>
        <w:topLinePunct w:val="0"/>
        <w:autoSpaceDE/>
        <w:autoSpaceDN/>
        <w:bidi w:val="0"/>
        <w:spacing w:line="56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keepNext w:val="0"/>
        <w:keepLines w:val="0"/>
        <w:pageBreakBefore w:val="0"/>
        <w:kinsoku/>
        <w:wordWrap/>
        <w:overflowPunct/>
        <w:topLinePunct w:val="0"/>
        <w:autoSpaceDE/>
        <w:autoSpaceDN/>
        <w:bidi w:val="0"/>
        <w:spacing w:line="56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pStyle w:val="2"/>
        <w:keepNext w:val="0"/>
        <w:keepLines w:val="0"/>
        <w:pageBreakBefore w:val="0"/>
        <w:kinsoku/>
        <w:wordWrap/>
        <w:overflowPunct/>
        <w:topLinePunct w:val="0"/>
        <w:autoSpaceDE/>
        <w:autoSpaceDN/>
        <w:bidi w:val="0"/>
        <w:spacing w:line="560" w:lineRule="exact"/>
        <w:ind w:left="0" w:leftChars="0" w:firstLine="640" w:firstLineChars="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市妇联2021年部门整体绩效评价得分为91.71，级别评定为优，其中“当年预算执行情况”得分17.91，“整体绩效目标实现情况”得分57，“预算管理情况”得分16.8。</w:t>
      </w:r>
    </w:p>
    <w:p>
      <w:pPr>
        <w:pStyle w:val="2"/>
        <w:keepNext w:val="0"/>
        <w:keepLines w:val="0"/>
        <w:pageBreakBefore w:val="0"/>
        <w:kinsoku/>
        <w:wordWrap/>
        <w:overflowPunct/>
        <w:topLinePunct w:val="0"/>
        <w:autoSpaceDE/>
        <w:autoSpaceDN/>
        <w:bidi w:val="0"/>
        <w:spacing w:line="560" w:lineRule="exact"/>
        <w:ind w:left="0" w:leftChars="0" w:firstLine="640" w:firstLineChars="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整体绩效目标实现情况”中“产出”得分29，“效果”得分28。“产出”得分中“完成项目数量”得分7.5，“完成项目质量”得分7.5，“产出进度”得分6.5，“产出成本”得分7.5。“产出”得分中“社会效益”得分14，“可持续影响效益”得分14。</w:t>
      </w:r>
    </w:p>
    <w:p>
      <w:pPr>
        <w:pStyle w:val="5"/>
        <w:keepNext w:val="0"/>
        <w:keepLines w:val="0"/>
        <w:pageBreakBefore w:val="0"/>
        <w:kinsoku/>
        <w:wordWrap/>
        <w:overflowPunct/>
        <w:topLinePunct w:val="0"/>
        <w:autoSpaceDE/>
        <w:autoSpaceDN/>
        <w:bidi w:val="0"/>
        <w:spacing w:line="560" w:lineRule="exact"/>
        <w:rPr>
          <w:rFonts w:hint="default"/>
          <w:lang w:val="en-US" w:eastAsia="zh-CN"/>
        </w:rPr>
      </w:pPr>
      <w:r>
        <w:rPr>
          <w:rFonts w:hint="eastAsia" w:ascii="仿宋_GB2312" w:hAnsi="仿宋" w:eastAsia="仿宋_GB2312" w:cs="Times New Roman"/>
          <w:kern w:val="2"/>
          <w:sz w:val="32"/>
          <w:szCs w:val="32"/>
          <w:highlight w:val="none"/>
          <w:lang w:val="en-US" w:eastAsia="zh-CN" w:bidi="ar-SA"/>
        </w:rPr>
        <w:t xml:space="preserve">    “预算管理情况”中“财务管理”得分4，“资产管理”得分4，“绩效管理”得分4，“结转结余率”得分0.8，“部门预决算差异率”得分4。</w:t>
      </w:r>
    </w:p>
    <w:p>
      <w:pPr>
        <w:keepNext w:val="0"/>
        <w:keepLines w:val="0"/>
        <w:pageBreakBefore w:val="0"/>
        <w:numPr>
          <w:ilvl w:val="0"/>
          <w:numId w:val="2"/>
        </w:numPr>
        <w:kinsoku/>
        <w:wordWrap/>
        <w:overflowPunct/>
        <w:topLinePunct w:val="0"/>
        <w:autoSpaceDE/>
        <w:autoSpaceDN/>
        <w:bidi w:val="0"/>
        <w:spacing w:line="56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pStyle w:val="2"/>
        <w:keepNext w:val="0"/>
        <w:keepLines w:val="0"/>
        <w:pageBreakBefore w:val="0"/>
        <w:numPr>
          <w:ilvl w:val="0"/>
          <w:numId w:val="0"/>
        </w:numPr>
        <w:kinsoku/>
        <w:wordWrap/>
        <w:overflowPunct/>
        <w:topLinePunct w:val="0"/>
        <w:autoSpaceDE/>
        <w:autoSpaceDN/>
        <w:bidi w:val="0"/>
        <w:spacing w:line="560" w:lineRule="exact"/>
        <w:ind w:left="640" w:leftChars="0"/>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lang w:eastAsia="zh-CN"/>
        </w:rPr>
        <w:t>绩效指标细化量化不足</w:t>
      </w:r>
    </w:p>
    <w:p>
      <w:pPr>
        <w:keepNext w:val="0"/>
        <w:keepLines w:val="0"/>
        <w:pageBreakBefore w:val="0"/>
        <w:suppressAutoHyphens/>
        <w:kinsoku/>
        <w:wordWrap/>
        <w:overflowPunct/>
        <w:topLinePunct w:val="0"/>
        <w:autoSpaceDE/>
        <w:autoSpaceDN/>
        <w:bidi w:val="0"/>
        <w:spacing w:line="560" w:lineRule="exact"/>
        <w:ind w:firstLine="640" w:firstLineChars="200"/>
        <w:rPr>
          <w:rFonts w:hint="default"/>
          <w:lang w:val="en-US" w:eastAsia="zh-CN"/>
        </w:rPr>
      </w:pPr>
      <w:r>
        <w:rPr>
          <w:rFonts w:hint="eastAsia" w:ascii="仿宋_GB2312" w:eastAsia="仿宋_GB2312" w:cs="Times New Roman"/>
          <w:sz w:val="32"/>
          <w:szCs w:val="32"/>
          <w:lang w:val="en-US" w:eastAsia="zh-CN"/>
        </w:rPr>
        <w:t>目前制定的绩效指标还无法</w:t>
      </w:r>
      <w:r>
        <w:rPr>
          <w:rFonts w:hint="eastAsia" w:ascii="仿宋_GB2312" w:hAnsi="仿宋_GB2312" w:eastAsia="仿宋_GB2312" w:cs="仿宋_GB2312"/>
          <w:sz w:val="32"/>
          <w:szCs w:val="32"/>
        </w:rPr>
        <w:t>清晰反映部门核心履职成效和资金支出的核心产出及效果，</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rPr>
        <w:t>可采集</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、可衡量</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、可比较</w:t>
      </w:r>
      <w:r>
        <w:rPr>
          <w:rFonts w:hint="eastAsia" w:ascii="仿宋_GB2312" w:hAnsi="仿宋_GB2312" w:eastAsia="仿宋_GB2312" w:cs="仿宋_GB2312"/>
          <w:sz w:val="32"/>
          <w:szCs w:val="32"/>
          <w:lang w:eastAsia="zh-CN"/>
        </w:rPr>
        <w:t>性还有待提升。主要原因是部门</w:t>
      </w:r>
      <w:r>
        <w:rPr>
          <w:rFonts w:hint="eastAsia" w:ascii="仿宋_GB2312" w:hAnsi="Times New Roman" w:eastAsia="仿宋_GB2312" w:cs="Times New Roman"/>
          <w:sz w:val="32"/>
          <w:szCs w:val="32"/>
          <w:lang w:val="en-US" w:eastAsia="zh-CN"/>
        </w:rPr>
        <w:t>绩效意识和绩效管理理念</w:t>
      </w:r>
      <w:r>
        <w:rPr>
          <w:rFonts w:hint="eastAsia" w:ascii="仿宋_GB2312" w:eastAsia="仿宋_GB2312" w:cs="Times New Roman"/>
          <w:sz w:val="32"/>
          <w:szCs w:val="32"/>
          <w:lang w:val="en-US" w:eastAsia="zh-CN"/>
        </w:rPr>
        <w:t>有待提升</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对部门</w:t>
      </w:r>
      <w:r>
        <w:rPr>
          <w:rFonts w:hint="eastAsia" w:ascii="仿宋_GB2312" w:hAnsi="Times New Roman" w:eastAsia="仿宋_GB2312" w:cs="Times New Roman"/>
          <w:sz w:val="32"/>
          <w:szCs w:val="32"/>
          <w:lang w:val="en-US" w:eastAsia="zh-CN"/>
        </w:rPr>
        <w:t>绩效</w:t>
      </w:r>
      <w:r>
        <w:rPr>
          <w:rFonts w:hint="eastAsia" w:ascii="仿宋_GB2312" w:eastAsia="仿宋_GB2312" w:cs="Times New Roman"/>
          <w:sz w:val="32"/>
          <w:szCs w:val="32"/>
          <w:lang w:val="en-US" w:eastAsia="zh-CN"/>
        </w:rPr>
        <w:t>指标构建的研究还不足</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部门</w:t>
      </w:r>
      <w:r>
        <w:rPr>
          <w:rFonts w:hint="eastAsia" w:ascii="仿宋_GB2312" w:hAnsi="Times New Roman" w:eastAsia="仿宋_GB2312" w:cs="Times New Roman"/>
          <w:sz w:val="32"/>
          <w:szCs w:val="32"/>
          <w:lang w:val="en-US" w:eastAsia="zh-CN"/>
        </w:rPr>
        <w:t>绩效</w:t>
      </w:r>
      <w:r>
        <w:rPr>
          <w:rFonts w:hint="eastAsia" w:ascii="仿宋_GB2312" w:eastAsia="仿宋_GB2312" w:cs="Times New Roman"/>
          <w:sz w:val="32"/>
          <w:szCs w:val="32"/>
          <w:lang w:val="en-US" w:eastAsia="zh-CN"/>
        </w:rPr>
        <w:t>目标</w:t>
      </w:r>
      <w:r>
        <w:rPr>
          <w:rFonts w:hint="eastAsia" w:ascii="仿宋_GB2312" w:hAnsi="Times New Roman" w:eastAsia="仿宋_GB2312" w:cs="Times New Roman"/>
          <w:sz w:val="32"/>
          <w:szCs w:val="32"/>
          <w:lang w:val="en-US" w:eastAsia="zh-CN"/>
        </w:rPr>
        <w:t>科学性、合理性和完整性</w:t>
      </w:r>
      <w:r>
        <w:rPr>
          <w:rFonts w:hint="eastAsia" w:ascii="仿宋_GB2312" w:eastAsia="仿宋_GB2312" w:cs="Times New Roman"/>
          <w:sz w:val="32"/>
          <w:szCs w:val="32"/>
          <w:lang w:val="en-US" w:eastAsia="zh-CN"/>
        </w:rPr>
        <w:t>还需要提升。</w:t>
      </w:r>
    </w:p>
    <w:p>
      <w:pPr>
        <w:pStyle w:val="2"/>
        <w:keepNext w:val="0"/>
        <w:keepLines w:val="0"/>
        <w:pageBreakBefore w:val="0"/>
        <w:numPr>
          <w:ilvl w:val="0"/>
          <w:numId w:val="0"/>
        </w:numPr>
        <w:kinsoku/>
        <w:wordWrap/>
        <w:overflowPunct/>
        <w:topLinePunct w:val="0"/>
        <w:autoSpaceDE/>
        <w:autoSpaceDN/>
        <w:bidi w:val="0"/>
        <w:spacing w:line="560" w:lineRule="exact"/>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 xml:space="preserve">    2.预算执行率偏低。</w:t>
      </w:r>
    </w:p>
    <w:p>
      <w:pPr>
        <w:keepNext w:val="0"/>
        <w:keepLines w:val="0"/>
        <w:pageBreakBefore w:val="0"/>
        <w:numPr>
          <w:ilvl w:val="0"/>
          <w:numId w:val="0"/>
        </w:numPr>
        <w:kinsoku/>
        <w:wordWrap/>
        <w:overflowPunct/>
        <w:topLinePunct w:val="0"/>
        <w:autoSpaceDE/>
        <w:autoSpaceDN/>
        <w:bidi w:val="0"/>
        <w:spacing w:line="560" w:lineRule="exact"/>
        <w:rPr>
          <w:rFonts w:hint="default"/>
          <w:lang w:val="en-US" w:eastAsia="zh-CN"/>
        </w:rPr>
      </w:pPr>
      <w:r>
        <w:rPr>
          <w:rFonts w:hint="eastAsia"/>
          <w:lang w:val="en-US" w:eastAsia="zh-CN"/>
        </w:rPr>
        <w:t xml:space="preserve">      </w:t>
      </w:r>
      <w:r>
        <w:rPr>
          <w:rFonts w:hint="eastAsia" w:ascii="仿宋_GB2312" w:hAnsi="仿宋" w:eastAsia="仿宋_GB2312"/>
          <w:sz w:val="32"/>
          <w:szCs w:val="32"/>
        </w:rPr>
        <w:t>主要是由于</w:t>
      </w:r>
      <w:r>
        <w:rPr>
          <w:rFonts w:hint="eastAsia" w:ascii="仿宋_GB2312" w:hAnsi="仿宋" w:eastAsia="仿宋_GB2312"/>
          <w:sz w:val="32"/>
          <w:szCs w:val="32"/>
          <w:lang w:eastAsia="zh-CN"/>
        </w:rPr>
        <w:t>市妇联本级年底追加</w:t>
      </w:r>
      <w:r>
        <w:rPr>
          <w:rFonts w:hint="eastAsia" w:ascii="仿宋_GB2312" w:hAnsi="仿宋" w:eastAsia="仿宋_GB2312"/>
          <w:sz w:val="32"/>
          <w:szCs w:val="32"/>
          <w:lang w:val="en-US" w:eastAsia="zh-CN"/>
        </w:rPr>
        <w:t>活动物资保障经费，但由于时间紧迫，2021年无法执行预算，最终导致2021年部门整体预算执行率下降。究其原因，主要是市妇联对财政批复预算时间把握不够，导致预算批复下达过晚，出现了年末申请追加预算但无法执行预算的情况。</w:t>
      </w:r>
    </w:p>
    <w:p>
      <w:pPr>
        <w:pStyle w:val="2"/>
        <w:keepNext w:val="0"/>
        <w:keepLines w:val="0"/>
        <w:pageBreakBefore w:val="0"/>
        <w:numPr>
          <w:ilvl w:val="0"/>
          <w:numId w:val="0"/>
        </w:numPr>
        <w:kinsoku/>
        <w:wordWrap/>
        <w:overflowPunct/>
        <w:topLinePunct w:val="0"/>
        <w:autoSpaceDE/>
        <w:autoSpaceDN/>
        <w:bidi w:val="0"/>
        <w:spacing w:line="560" w:lineRule="exact"/>
        <w:ind w:left="640" w:leftChars="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3.产出进度偏慢。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仿宋_GB2312" w:eastAsia="仿宋_GB2312" w:cs="Times New Roman"/>
          <w:sz w:val="32"/>
          <w:szCs w:val="32"/>
          <w:lang w:eastAsia="zh-CN"/>
        </w:rPr>
        <w:t>产出进度偏慢的原因是多方面的，一是</w:t>
      </w:r>
      <w:r>
        <w:rPr>
          <w:rFonts w:hint="eastAsia" w:ascii="仿宋_GB2312" w:hAnsi="Times New Roman" w:eastAsia="仿宋_GB2312" w:cs="Times New Roman"/>
          <w:sz w:val="32"/>
          <w:szCs w:val="32"/>
          <w:lang w:eastAsia="zh-CN"/>
        </w:rPr>
        <w:t>预算调整过多</w:t>
      </w:r>
      <w:r>
        <w:rPr>
          <w:rFonts w:hint="eastAsia" w:ascii="仿宋_GB2312" w:eastAsia="仿宋_GB2312" w:cs="Times New Roman"/>
          <w:sz w:val="32"/>
          <w:szCs w:val="32"/>
          <w:lang w:eastAsia="zh-CN"/>
        </w:rPr>
        <w:t>导致产出进度慢，预算调整多的原因主要是</w:t>
      </w:r>
      <w:r>
        <w:rPr>
          <w:rFonts w:hint="eastAsia" w:ascii="仿宋_GB2312" w:hAnsi="Times New Roman" w:eastAsia="仿宋_GB2312" w:cs="Times New Roman"/>
          <w:sz w:val="32"/>
          <w:szCs w:val="32"/>
          <w:lang w:val="en-US" w:eastAsia="zh-CN"/>
        </w:rPr>
        <w:t>项目前期调研和论证力度</w:t>
      </w:r>
      <w:r>
        <w:rPr>
          <w:rFonts w:hint="eastAsia" w:ascii="仿宋_GB2312" w:eastAsia="仿宋_GB2312" w:cs="Times New Roman"/>
          <w:sz w:val="32"/>
          <w:szCs w:val="32"/>
          <w:lang w:val="en-US" w:eastAsia="zh-CN"/>
        </w:rPr>
        <w:t>不足</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导致项目发生</w:t>
      </w:r>
      <w:r>
        <w:rPr>
          <w:rFonts w:hint="eastAsia" w:ascii="仿宋_GB2312" w:hAnsi="Times New Roman" w:eastAsia="仿宋_GB2312" w:cs="Times New Roman"/>
          <w:sz w:val="32"/>
          <w:szCs w:val="32"/>
          <w:lang w:val="en-US" w:eastAsia="zh-CN"/>
        </w:rPr>
        <w:t>调整</w:t>
      </w:r>
      <w:r>
        <w:rPr>
          <w:rFonts w:hint="eastAsia" w:ascii="仿宋_GB2312" w:eastAsia="仿宋_GB2312" w:cs="Times New Roman"/>
          <w:sz w:val="32"/>
          <w:szCs w:val="32"/>
          <w:lang w:val="en-US" w:eastAsia="zh-CN"/>
        </w:rPr>
        <w:t>；二是</w:t>
      </w:r>
      <w:r>
        <w:rPr>
          <w:rFonts w:hint="eastAsia" w:ascii="仿宋_GB2312" w:eastAsia="仿宋_GB2312"/>
          <w:sz w:val="32"/>
          <w:szCs w:val="32"/>
        </w:rPr>
        <w:t>受疫情影响原计划开展的项目需延期开展</w:t>
      </w:r>
      <w:r>
        <w:rPr>
          <w:rFonts w:hint="eastAsia" w:ascii="仿宋_GB2312" w:eastAsia="仿宋_GB2312"/>
          <w:sz w:val="32"/>
          <w:szCs w:val="32"/>
          <w:lang w:eastAsia="zh-CN"/>
        </w:rPr>
        <w:t>；三是</w:t>
      </w:r>
      <w:r>
        <w:rPr>
          <w:rFonts w:hint="eastAsia" w:ascii="仿宋_GB2312" w:eastAsia="仿宋_GB2312"/>
          <w:sz w:val="32"/>
          <w:szCs w:val="32"/>
          <w:lang w:val="en-US" w:eastAsia="zh-CN"/>
        </w:rPr>
        <w:t>2021年</w:t>
      </w:r>
      <w:r>
        <w:rPr>
          <w:rFonts w:hint="eastAsia" w:ascii="仿宋_GB2312" w:eastAsia="仿宋_GB2312"/>
          <w:sz w:val="32"/>
          <w:szCs w:val="32"/>
          <w:lang w:eastAsia="zh-CN"/>
        </w:rPr>
        <w:t>新内控系统上线，系统调试、新系统熟悉适应等客观情况导致部分项目支付手续办理延后。</w:t>
      </w:r>
    </w:p>
    <w:p>
      <w:pPr>
        <w:pStyle w:val="2"/>
        <w:keepNext w:val="0"/>
        <w:keepLines w:val="0"/>
        <w:pageBreakBefore w:val="0"/>
        <w:numPr>
          <w:ilvl w:val="0"/>
          <w:numId w:val="0"/>
        </w:numPr>
        <w:kinsoku/>
        <w:wordWrap/>
        <w:overflowPunct/>
        <w:topLinePunct w:val="0"/>
        <w:autoSpaceDE/>
        <w:autoSpaceDN/>
        <w:bidi w:val="0"/>
        <w:spacing w:line="560" w:lineRule="exact"/>
        <w:ind w:left="640" w:leftChars="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4.项目执行满意度调查普遍欠缺。</w:t>
      </w:r>
    </w:p>
    <w:p>
      <w:pPr>
        <w:ind w:firstLine="632" w:firstLineChars="200"/>
        <w:jc w:val="left"/>
        <w:rPr>
          <w:rFonts w:hint="eastAsia" w:eastAsia="仿宋_GB2312"/>
          <w:lang w:val="en-US" w:eastAsia="zh-CN"/>
        </w:rPr>
      </w:pPr>
      <w:r>
        <w:rPr>
          <w:rFonts w:hint="eastAsia" w:ascii="仿宋_GB2312" w:hAnsi="宋体" w:eastAsia="仿宋_GB2312"/>
          <w:bCs/>
          <w:spacing w:val="-2"/>
          <w:sz w:val="32"/>
          <w:szCs w:val="32"/>
          <w:lang w:eastAsia="zh-CN"/>
        </w:rPr>
        <w:t>项目满意度调查普遍欠缺，主要原因是部门对满意度调查工作重视不够，投入的时间和精力都不足，此外，部门开展满意度调查能力也有所欠缺，在如何选定满意度调查对象、采取何种满意度调查方式等方面存在难度。</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黑体" w:hAnsi="黑体" w:eastAsia="黑体" w:cs="宋体"/>
          <w:color w:val="000000"/>
          <w:kern w:val="0"/>
          <w:sz w:val="32"/>
          <w:szCs w:val="32"/>
        </w:rPr>
        <w:t>六、措施建议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Times New Roman"/>
          <w:sz w:val="32"/>
          <w:szCs w:val="32"/>
          <w:highlight w:val="none"/>
          <w:lang w:eastAsia="zh-CN"/>
        </w:rPr>
      </w:pPr>
      <w:bookmarkStart w:id="0" w:name="_Toc26782861"/>
      <w:r>
        <w:rPr>
          <w:rFonts w:hint="eastAsia" w:ascii="仿宋_GB2312" w:hAnsi="仿宋" w:eastAsia="仿宋_GB2312" w:cs="Times New Roman"/>
          <w:sz w:val="32"/>
          <w:szCs w:val="32"/>
          <w:highlight w:val="none"/>
          <w:lang w:eastAsia="zh-CN"/>
        </w:rPr>
        <w:t>（一）针对绩效指标细化量化不足的问题</w:t>
      </w:r>
    </w:p>
    <w:p>
      <w:pPr>
        <w:keepNext w:val="0"/>
        <w:keepLines w:val="0"/>
        <w:pageBreakBefore w:val="0"/>
        <w:suppressAutoHyphens/>
        <w:kinsoku/>
        <w:wordWrap/>
        <w:overflowPunct/>
        <w:topLinePunct w:val="0"/>
        <w:autoSpaceDE/>
        <w:autoSpaceDN/>
        <w:bidi w:val="0"/>
        <w:spacing w:line="560" w:lineRule="exact"/>
        <w:ind w:firstLine="640" w:firstLineChars="200"/>
        <w:rPr>
          <w:rFonts w:hint="eastAsia" w:ascii="仿宋_GB2312" w:eastAsia="仿宋_GB2312"/>
          <w:sz w:val="32"/>
          <w:szCs w:val="32"/>
          <w:lang w:eastAsia="zh-CN"/>
        </w:rPr>
      </w:pPr>
      <w:r>
        <w:rPr>
          <w:rFonts w:hint="eastAsia" w:ascii="仿宋_GB2312" w:hAnsi="Times New Roman" w:eastAsia="仿宋_GB2312" w:cs="Times New Roman"/>
          <w:sz w:val="32"/>
          <w:szCs w:val="32"/>
          <w:lang w:val="en-US" w:eastAsia="zh-CN"/>
        </w:rPr>
        <w:t>进一步强化绩效意识和绩效管理理念，重视绩效目标编制工作，增强</w:t>
      </w:r>
      <w:r>
        <w:rPr>
          <w:rFonts w:hint="eastAsia" w:ascii="仿宋_GB2312" w:eastAsia="仿宋_GB2312" w:cs="Times New Roman"/>
          <w:sz w:val="32"/>
          <w:szCs w:val="32"/>
          <w:lang w:val="en-US" w:eastAsia="zh-CN"/>
        </w:rPr>
        <w:t>部门</w:t>
      </w:r>
      <w:r>
        <w:rPr>
          <w:rFonts w:hint="eastAsia" w:ascii="仿宋_GB2312" w:hAnsi="Times New Roman" w:eastAsia="仿宋_GB2312" w:cs="Times New Roman"/>
          <w:sz w:val="32"/>
          <w:szCs w:val="32"/>
          <w:lang w:val="en-US" w:eastAsia="zh-CN"/>
        </w:rPr>
        <w:t>绩效编制的前瞻性和计划性，提高绩效目标制定的科学性、合理性和完整性。进一步细化、量化绩效指标，</w:t>
      </w:r>
      <w:r>
        <w:rPr>
          <w:rFonts w:hint="eastAsia" w:ascii="仿宋_GB2312" w:hAnsi="仿宋_GB2312" w:eastAsia="仿宋_GB2312" w:cs="仿宋_GB2312"/>
          <w:sz w:val="32"/>
          <w:szCs w:val="32"/>
        </w:rPr>
        <w:t xml:space="preserve">以定量指标为主、定性指标为辅，清晰反映部门核心履职成效和资金支出的核心产出及效果，做到可采集、可衡量、可比较。指标实行动态管理，根据需要及时调整和更新。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二</w:t>
      </w:r>
      <w:r>
        <w:rPr>
          <w:rFonts w:hint="eastAsia" w:ascii="仿宋_GB2312" w:hAnsi="Times New Roman" w:eastAsia="仿宋_GB2312" w:cs="Times New Roman"/>
          <w:sz w:val="32"/>
          <w:szCs w:val="32"/>
          <w:lang w:eastAsia="zh-CN"/>
        </w:rPr>
        <w:t>）针对预算</w:t>
      </w:r>
      <w:r>
        <w:rPr>
          <w:rFonts w:hint="eastAsia" w:ascii="仿宋_GB2312" w:eastAsia="仿宋_GB2312" w:cs="Times New Roman"/>
          <w:sz w:val="32"/>
          <w:szCs w:val="32"/>
          <w:lang w:eastAsia="zh-CN"/>
        </w:rPr>
        <w:t>执行慢</w:t>
      </w:r>
      <w:r>
        <w:rPr>
          <w:rFonts w:hint="eastAsia" w:ascii="仿宋_GB2312" w:hAnsi="Times New Roman" w:eastAsia="仿宋_GB2312" w:cs="Times New Roman"/>
          <w:sz w:val="32"/>
          <w:szCs w:val="32"/>
          <w:lang w:eastAsia="zh-CN"/>
        </w:rPr>
        <w:t>的问题</w:t>
      </w:r>
    </w:p>
    <w:p>
      <w:pPr>
        <w:pStyle w:val="8"/>
        <w:spacing w:line="360" w:lineRule="auto"/>
        <w:ind w:firstLine="640" w:firstLineChars="200"/>
        <w:jc w:val="both"/>
        <w:rPr>
          <w:rFonts w:hint="eastAsia"/>
        </w:rPr>
      </w:pPr>
      <w:r>
        <w:rPr>
          <w:rFonts w:hint="eastAsia" w:ascii="仿宋_GB2312" w:eastAsia="仿宋_GB2312" w:cs="Times New Roman"/>
          <w:sz w:val="32"/>
          <w:szCs w:val="32"/>
          <w:lang w:val="en-US" w:eastAsia="zh-CN"/>
        </w:rPr>
        <w:t>提高预算执行督促力度</w:t>
      </w:r>
      <w:r>
        <w:rPr>
          <w:rFonts w:hint="eastAsia" w:ascii="仿宋_GB2312" w:hAnsi="仿宋_GB2312" w:eastAsia="仿宋_GB2312" w:cs="仿宋_GB2312"/>
          <w:kern w:val="2"/>
          <w:sz w:val="32"/>
          <w:szCs w:val="32"/>
          <w:lang w:val="en-US" w:eastAsia="zh-CN" w:bidi="ar-SA"/>
        </w:rPr>
        <w:t>，每月初办公室财务统计上月项目预算执行进度情况，在主席办公会上进行通报。降低预算调整频次，</w:t>
      </w:r>
      <w:r>
        <w:rPr>
          <w:rFonts w:hint="eastAsia" w:ascii="仿宋_GB2312" w:hAnsi="Times New Roman" w:eastAsia="仿宋_GB2312" w:cs="Times New Roman"/>
          <w:sz w:val="32"/>
          <w:szCs w:val="32"/>
          <w:lang w:val="en-US" w:eastAsia="zh-CN"/>
        </w:rPr>
        <w:t>加大项目前期调研和论证力度，细化量化预算指标，提高预算执行与项目预算的一致性，尽量减少非政策因素对项目资金的调整，切实提高预算编制的科学化水平。</w:t>
      </w:r>
      <w:r>
        <w:rPr>
          <w:rFonts w:hint="eastAsia" w:ascii="仿宋_GB2312" w:eastAsia="仿宋_GB2312" w:cs="Times New Roman"/>
          <w:sz w:val="32"/>
          <w:szCs w:val="32"/>
          <w:lang w:val="en-US" w:eastAsia="zh-CN"/>
        </w:rPr>
        <w:t>要求</w:t>
      </w:r>
      <w:r>
        <w:rPr>
          <w:rFonts w:hint="eastAsia" w:ascii="仿宋_GB2312" w:eastAsia="仿宋_GB2312"/>
          <w:sz w:val="32"/>
          <w:szCs w:val="32"/>
        </w:rPr>
        <w:t>项目部室增强工作主动性，提高加快预算执行的意识，不以收到发票作为申请支付的必要条件，在满足支付条件的情况下要及时履行支付审批程序，避免支出进度卡在支付手续办理环节。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5" w:leftChars="50" w:firstLine="480" w:firstLineChars="15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针对</w:t>
      </w:r>
      <w:r>
        <w:rPr>
          <w:rFonts w:hint="eastAsia" w:ascii="仿宋_GB2312" w:eastAsia="仿宋_GB2312" w:cs="Times New Roman"/>
          <w:sz w:val="32"/>
          <w:szCs w:val="32"/>
          <w:lang w:eastAsia="zh-CN"/>
        </w:rPr>
        <w:t>项目满意度调查普遍欠缺</w:t>
      </w:r>
      <w:r>
        <w:rPr>
          <w:rFonts w:hint="eastAsia" w:ascii="仿宋_GB2312" w:hAnsi="Times New Roman" w:eastAsia="仿宋_GB2312" w:cs="Times New Roman"/>
          <w:sz w:val="32"/>
          <w:szCs w:val="32"/>
          <w:lang w:eastAsia="zh-CN"/>
        </w:rPr>
        <w:t>的问题</w:t>
      </w:r>
    </w:p>
    <w:p>
      <w:pPr>
        <w:ind w:firstLine="420" w:firstLineChars="200"/>
        <w:jc w:val="left"/>
        <w:rPr>
          <w:rFonts w:hint="eastAsia" w:eastAsia="仿宋_GB2312"/>
          <w:lang w:val="en-US" w:eastAsia="zh-CN"/>
        </w:rPr>
      </w:pPr>
      <w:r>
        <w:rPr>
          <w:rFonts w:hint="eastAsia"/>
          <w:lang w:val="en-US" w:eastAsia="zh-CN"/>
        </w:rPr>
        <w:t xml:space="preserve">   </w:t>
      </w:r>
      <w:r>
        <w:rPr>
          <w:rFonts w:hint="eastAsia" w:ascii="仿宋_GB2312" w:hAnsi="宋体" w:eastAsia="仿宋_GB2312"/>
          <w:bCs/>
          <w:spacing w:val="-2"/>
          <w:sz w:val="32"/>
          <w:szCs w:val="32"/>
        </w:rPr>
        <w:t>重视项目满意度调查，</w:t>
      </w:r>
      <w:r>
        <w:rPr>
          <w:rFonts w:hint="eastAsia" w:ascii="仿宋_GB2312" w:hAnsi="宋体" w:eastAsia="仿宋_GB2312"/>
          <w:bCs/>
          <w:spacing w:val="-2"/>
          <w:sz w:val="32"/>
          <w:szCs w:val="32"/>
          <w:lang w:eastAsia="zh-CN"/>
        </w:rPr>
        <w:t>通过培训、咨询等方式提升满意度调查能力，选定合适的满意度调查对象和满意度调查方法，对不同类型的项目开展有针对性的满意度调查</w:t>
      </w:r>
      <w:r>
        <w:rPr>
          <w:rFonts w:hint="eastAsia" w:ascii="仿宋_GB2312" w:hAnsi="宋体" w:eastAsia="仿宋_GB2312"/>
          <w:bCs/>
          <w:spacing w:val="-2"/>
          <w:sz w:val="32"/>
          <w:szCs w:val="32"/>
        </w:rPr>
        <w:t>并分析总结结果，以便更好</w:t>
      </w:r>
      <w:r>
        <w:rPr>
          <w:rFonts w:hint="eastAsia" w:ascii="仿宋_GB2312" w:hAnsi="宋体" w:eastAsia="仿宋_GB2312"/>
          <w:bCs/>
          <w:spacing w:val="-2"/>
          <w:sz w:val="32"/>
          <w:szCs w:val="32"/>
          <w:lang w:eastAsia="zh-CN"/>
        </w:rPr>
        <w:t>地</w:t>
      </w:r>
      <w:r>
        <w:rPr>
          <w:rFonts w:hint="eastAsia" w:ascii="仿宋_GB2312" w:hAnsi="宋体" w:eastAsia="仿宋_GB2312"/>
          <w:bCs/>
          <w:spacing w:val="-2"/>
          <w:sz w:val="32"/>
          <w:szCs w:val="32"/>
        </w:rPr>
        <w:t>指导下一步工作</w:t>
      </w:r>
      <w:r>
        <w:rPr>
          <w:rFonts w:hint="eastAsia" w:ascii="仿宋_GB2312" w:hAnsi="宋体" w:eastAsia="仿宋_GB2312"/>
          <w:bCs/>
          <w:spacing w:val="-2"/>
          <w:sz w:val="32"/>
          <w:szCs w:val="32"/>
          <w:lang w:eastAsia="zh-CN"/>
        </w:rPr>
        <w:t>。</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黑体" w:eastAsia="方正小标宋简体" w:cs="宋体"/>
          <w:color w:val="000000"/>
          <w:kern w:val="0"/>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11"/>
        <w:tblW w:w="14174" w:type="dxa"/>
        <w:tblInd w:w="0" w:type="dxa"/>
        <w:tblLayout w:type="fixed"/>
        <w:tblCellMar>
          <w:top w:w="0" w:type="dxa"/>
          <w:left w:w="108" w:type="dxa"/>
          <w:bottom w:w="0" w:type="dxa"/>
          <w:right w:w="108" w:type="dxa"/>
        </w:tblCellMar>
      </w:tblPr>
      <w:tblGrid>
        <w:gridCol w:w="813"/>
        <w:gridCol w:w="813"/>
        <w:gridCol w:w="1045"/>
        <w:gridCol w:w="1286"/>
        <w:gridCol w:w="1278"/>
        <w:gridCol w:w="1065"/>
        <w:gridCol w:w="1095"/>
        <w:gridCol w:w="2657"/>
        <w:gridCol w:w="4122"/>
      </w:tblGrid>
      <w:tr>
        <w:tblPrEx>
          <w:tblLayout w:type="fixed"/>
          <w:tblCellMar>
            <w:top w:w="0" w:type="dxa"/>
            <w:left w:w="108" w:type="dxa"/>
            <w:bottom w:w="0" w:type="dxa"/>
            <w:right w:w="108" w:type="dxa"/>
          </w:tblCellMar>
        </w:tblPrEx>
        <w:trPr>
          <w:trHeight w:val="499" w:hRule="atLeast"/>
        </w:trPr>
        <w:tc>
          <w:tcPr>
            <w:tcW w:w="14174" w:type="dxa"/>
            <w:gridSpan w:val="9"/>
            <w:tcBorders>
              <w:top w:val="nil"/>
              <w:left w:val="nil"/>
              <w:bottom w:val="single" w:color="auto" w:sz="4" w:space="0"/>
              <w:right w:val="nil"/>
            </w:tcBorders>
            <w:vAlign w:val="bottom"/>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2021年部门整体绩效评价指标体系评分表</w:t>
            </w:r>
          </w:p>
        </w:tc>
      </w:tr>
      <w:tr>
        <w:tblPrEx>
          <w:tblLayout w:type="fixed"/>
          <w:tblCellMar>
            <w:top w:w="0" w:type="dxa"/>
            <w:left w:w="108" w:type="dxa"/>
            <w:bottom w:w="0" w:type="dxa"/>
            <w:right w:w="108" w:type="dxa"/>
          </w:tblCellMar>
        </w:tblPrEx>
        <w:trPr>
          <w:trHeight w:val="470" w:hRule="atLeast"/>
        </w:trPr>
        <w:tc>
          <w:tcPr>
            <w:tcW w:w="14174" w:type="dxa"/>
            <w:gridSpan w:val="9"/>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一</w:t>
            </w:r>
            <w:r>
              <w:rPr>
                <w:rFonts w:hint="default" w:ascii="宋体" w:hAnsi="宋体" w:cs="宋体"/>
                <w:color w:val="000000"/>
                <w:kern w:val="0"/>
                <w:sz w:val="20"/>
                <w:szCs w:val="20"/>
              </w:rPr>
              <w:t>级指标</w:t>
            </w:r>
            <w:r>
              <w:rPr>
                <w:rFonts w:hint="eastAsia" w:ascii="宋体" w:hAnsi="宋体" w:cs="宋体"/>
                <w:color w:val="000000"/>
                <w:kern w:val="0"/>
                <w:sz w:val="20"/>
                <w:szCs w:val="20"/>
              </w:rPr>
              <w:t>　</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二</w:t>
            </w:r>
            <w:r>
              <w:rPr>
                <w:rFonts w:hint="default" w:ascii="宋体" w:hAnsi="宋体" w:cs="宋体"/>
                <w:color w:val="000000"/>
                <w:kern w:val="0"/>
                <w:sz w:val="20"/>
                <w:szCs w:val="20"/>
              </w:rPr>
              <w:t>级指标</w:t>
            </w:r>
            <w:r>
              <w:rPr>
                <w:rFonts w:hint="eastAsia" w:ascii="宋体" w:hAnsi="宋体" w:cs="宋体"/>
                <w:color w:val="000000"/>
                <w:kern w:val="0"/>
                <w:sz w:val="20"/>
                <w:szCs w:val="20"/>
              </w:rPr>
              <w:t>　</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预算数（万元）</w:t>
            </w: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执行数（万元）</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预算执行率</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分值</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得分</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指标解释</w:t>
            </w:r>
          </w:p>
        </w:tc>
        <w:tc>
          <w:tcPr>
            <w:tcW w:w="4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trHeight w:val="630" w:hRule="atLeast"/>
        </w:trPr>
        <w:tc>
          <w:tcPr>
            <w:tcW w:w="81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资金总体</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9344.16</w:t>
            </w:r>
            <w:r>
              <w:rPr>
                <w:rFonts w:hint="eastAsia" w:asciiTheme="minorEastAsia" w:hAnsiTheme="minorEastAsia" w:eastAsiaTheme="minorEastAsia" w:cstheme="minorEastAsia"/>
                <w:color w:val="000000"/>
                <w:kern w:val="0"/>
                <w:sz w:val="18"/>
                <w:szCs w:val="18"/>
              </w:rPr>
              <w:t>　</w:t>
            </w: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8365.96</w:t>
            </w:r>
            <w:r>
              <w:rPr>
                <w:rFonts w:hint="eastAsia" w:asciiTheme="minorEastAsia" w:hAnsiTheme="minorEastAsia" w:eastAsiaTheme="minorEastAsia" w:cstheme="minorEastAsia"/>
                <w:color w:val="000000"/>
                <w:kern w:val="0"/>
                <w:sz w:val="18"/>
                <w:szCs w:val="18"/>
              </w:rPr>
              <w:t>　</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89.53%</w:t>
            </w:r>
            <w:r>
              <w:rPr>
                <w:rFonts w:hint="eastAsia" w:asciiTheme="minorEastAsia" w:hAnsiTheme="minorEastAsia" w:eastAsiaTheme="minorEastAsia" w:cstheme="minorEastAsia"/>
                <w:color w:val="000000"/>
                <w:kern w:val="0"/>
                <w:sz w:val="18"/>
                <w:szCs w:val="18"/>
              </w:rPr>
              <w:t>　</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17.91</w:t>
            </w:r>
            <w:r>
              <w:rPr>
                <w:rFonts w:hint="eastAsia" w:asciiTheme="minorEastAsia" w:hAnsiTheme="minorEastAsia" w:eastAsiaTheme="minorEastAsia" w:cstheme="minorEastAsia"/>
                <w:color w:val="000000"/>
                <w:kern w:val="0"/>
                <w:sz w:val="18"/>
                <w:szCs w:val="18"/>
              </w:rPr>
              <w:t>　</w:t>
            </w:r>
          </w:p>
        </w:tc>
        <w:tc>
          <w:tcPr>
            <w:tcW w:w="26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1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600"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tcBorders>
              <w:top w:val="single" w:color="auto" w:sz="4" w:space="0"/>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基本支出</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5357.12</w:t>
            </w:r>
            <w:r>
              <w:rPr>
                <w:rFonts w:hint="eastAsia" w:asciiTheme="minorEastAsia" w:hAnsiTheme="minorEastAsia" w:eastAsiaTheme="minorEastAsia" w:cstheme="minorEastAsia"/>
                <w:color w:val="000000"/>
                <w:kern w:val="0"/>
                <w:sz w:val="18"/>
                <w:szCs w:val="18"/>
              </w:rPr>
              <w:t>　</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5218.35</w:t>
            </w:r>
            <w:r>
              <w:rPr>
                <w:rFonts w:hint="eastAsia" w:asciiTheme="minorEastAsia" w:hAnsiTheme="minorEastAsia" w:eastAsiaTheme="minorEastAsia" w:cstheme="minorEastAsia"/>
                <w:color w:val="000000"/>
                <w:kern w:val="0"/>
                <w:sz w:val="18"/>
                <w:szCs w:val="18"/>
              </w:rPr>
              <w:t>　</w:t>
            </w:r>
          </w:p>
        </w:tc>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95" w:type="dxa"/>
            <w:vMerge w:val="continue"/>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26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c>
          <w:tcPr>
            <w:tcW w:w="41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tcBorders>
              <w:top w:val="single" w:color="auto" w:sz="4" w:space="0"/>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项目支出</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3891.95</w:t>
            </w:r>
            <w:r>
              <w:rPr>
                <w:rFonts w:hint="eastAsia" w:asciiTheme="minorEastAsia" w:hAnsiTheme="minorEastAsia" w:eastAsiaTheme="minorEastAsia" w:cstheme="minorEastAsia"/>
                <w:color w:val="000000"/>
                <w:kern w:val="0"/>
                <w:sz w:val="18"/>
                <w:szCs w:val="18"/>
              </w:rPr>
              <w:t>　</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3052.52</w:t>
            </w:r>
            <w:r>
              <w:rPr>
                <w:rFonts w:hint="eastAsia" w:asciiTheme="minorEastAsia" w:hAnsiTheme="minorEastAsia" w:eastAsiaTheme="minorEastAsia" w:cstheme="minorEastAsia"/>
                <w:color w:val="000000"/>
                <w:kern w:val="0"/>
                <w:sz w:val="18"/>
                <w:szCs w:val="18"/>
              </w:rPr>
              <w:t>　</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95" w:type="dxa"/>
            <w:vMerge w:val="continue"/>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26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c>
          <w:tcPr>
            <w:tcW w:w="41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136"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其他</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95.09</w:t>
            </w:r>
            <w:r>
              <w:rPr>
                <w:rFonts w:hint="eastAsia" w:asciiTheme="minorEastAsia" w:hAnsiTheme="minorEastAsia" w:eastAsiaTheme="minorEastAsia" w:cstheme="minorEastAsia"/>
                <w:color w:val="000000"/>
                <w:kern w:val="0"/>
                <w:sz w:val="18"/>
                <w:szCs w:val="18"/>
              </w:rPr>
              <w:t>　</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95.09</w:t>
            </w:r>
            <w:r>
              <w:rPr>
                <w:rFonts w:hint="eastAsia" w:asciiTheme="minorEastAsia" w:hAnsiTheme="minorEastAsia" w:eastAsiaTheme="minorEastAsia" w:cstheme="minorEastAsia"/>
                <w:color w:val="000000"/>
                <w:kern w:val="0"/>
                <w:sz w:val="18"/>
                <w:szCs w:val="18"/>
              </w:rPr>
              <w:t>　</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95" w:type="dxa"/>
            <w:vMerge w:val="continue"/>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26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c>
          <w:tcPr>
            <w:tcW w:w="41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174" w:type="dxa"/>
            <w:gridSpan w:val="9"/>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二、整体绩效目标实现情况（60分）</w:t>
            </w:r>
          </w:p>
        </w:tc>
      </w:tr>
      <w:tr>
        <w:tblPrEx>
          <w:tblLayout w:type="fixed"/>
          <w:tblCellMar>
            <w:top w:w="0" w:type="dxa"/>
            <w:left w:w="108" w:type="dxa"/>
            <w:bottom w:w="0" w:type="dxa"/>
            <w:right w:w="108" w:type="dxa"/>
          </w:tblCellMar>
        </w:tblPrEx>
        <w:trPr>
          <w:trHeight w:val="499" w:hRule="atLeast"/>
        </w:trPr>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一</w:t>
            </w:r>
            <w:r>
              <w:rPr>
                <w:rFonts w:hint="default" w:ascii="宋体" w:hAnsi="宋体" w:cs="宋体"/>
                <w:color w:val="000000"/>
                <w:kern w:val="0"/>
                <w:sz w:val="20"/>
                <w:szCs w:val="20"/>
              </w:rPr>
              <w:t>级指标</w:t>
            </w:r>
          </w:p>
        </w:tc>
        <w:tc>
          <w:tcPr>
            <w:tcW w:w="81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二</w:t>
            </w:r>
            <w:r>
              <w:rPr>
                <w:rFonts w:hint="default" w:ascii="宋体" w:hAnsi="宋体" w:cs="宋体"/>
                <w:color w:val="000000"/>
                <w:kern w:val="0"/>
                <w:sz w:val="20"/>
                <w:szCs w:val="20"/>
              </w:rPr>
              <w:t>级指标</w:t>
            </w:r>
            <w:r>
              <w:rPr>
                <w:rFonts w:hint="eastAsia" w:ascii="宋体" w:hAnsi="宋体" w:cs="宋体"/>
                <w:color w:val="000000"/>
                <w:kern w:val="0"/>
                <w:sz w:val="20"/>
                <w:szCs w:val="20"/>
              </w:rPr>
              <w:t>　</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三级指标　</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指标值</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完成值</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分值</w:t>
            </w:r>
          </w:p>
        </w:tc>
        <w:tc>
          <w:tcPr>
            <w:tcW w:w="1095" w:type="dxa"/>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得分</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bCs/>
                <w:color w:val="000000"/>
                <w:kern w:val="0"/>
                <w:sz w:val="18"/>
                <w:szCs w:val="18"/>
              </w:rPr>
            </w:pPr>
            <w:r>
              <w:rPr>
                <w:rFonts w:hint="eastAsia" w:ascii="宋体" w:hAnsi="宋体" w:cs="宋体"/>
                <w:bCs/>
                <w:color w:val="000000"/>
                <w:kern w:val="0"/>
                <w:sz w:val="18"/>
                <w:szCs w:val="18"/>
              </w:rPr>
              <w:t>指标</w:t>
            </w:r>
            <w:r>
              <w:rPr>
                <w:rFonts w:hint="default" w:ascii="宋体" w:hAnsi="宋体" w:cs="宋体"/>
                <w:bCs/>
                <w:color w:val="000000"/>
                <w:kern w:val="0"/>
                <w:sz w:val="18"/>
                <w:szCs w:val="18"/>
              </w:rPr>
              <w:t>解释</w:t>
            </w:r>
          </w:p>
        </w:tc>
        <w:tc>
          <w:tcPr>
            <w:tcW w:w="4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评</w:t>
            </w:r>
            <w:r>
              <w:rPr>
                <w:rFonts w:hint="default"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196"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813"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产出（30）</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完成项目数量</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≥24个　</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25</w:t>
            </w:r>
            <w:r>
              <w:rPr>
                <w:rFonts w:hint="eastAsia" w:asciiTheme="minorEastAsia" w:hAnsiTheme="minorEastAsia" w:eastAsiaTheme="minorEastAsia" w:cstheme="minorEastAsia"/>
                <w:color w:val="000000"/>
                <w:kern w:val="0"/>
                <w:sz w:val="18"/>
                <w:szCs w:val="18"/>
              </w:rPr>
              <w:t>　</w:t>
            </w:r>
          </w:p>
        </w:tc>
        <w:tc>
          <w:tcPr>
            <w:tcW w:w="106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1095" w:type="dxa"/>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7.5</w:t>
            </w: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6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130"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完成项目质量</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基本完成预期目标，全部项目部门绩效评价结果为良以上，为优的项目≥3个；基本经费保证机构正常运转　</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基本完成预期目标，全部项目部门绩效评价结果为良以上，为优的项目</w:t>
            </w:r>
            <w:r>
              <w:rPr>
                <w:rFonts w:hint="eastAsia" w:asciiTheme="minorEastAsia" w:hAnsiTheme="minorEastAsia" w:eastAsiaTheme="minorEastAsia" w:cstheme="minorEastAsia"/>
                <w:color w:val="000000"/>
                <w:kern w:val="0"/>
                <w:sz w:val="18"/>
                <w:szCs w:val="18"/>
                <w:lang w:val="en-US" w:eastAsia="zh-CN"/>
              </w:rPr>
              <w:t>为5</w:t>
            </w:r>
            <w:r>
              <w:rPr>
                <w:rFonts w:hint="eastAsia" w:asciiTheme="minorEastAsia" w:hAnsiTheme="minorEastAsia" w:eastAsiaTheme="minorEastAsia" w:cstheme="minorEastAsia"/>
                <w:color w:val="000000"/>
                <w:kern w:val="0"/>
                <w:sz w:val="18"/>
                <w:szCs w:val="18"/>
              </w:rPr>
              <w:t>个；基本经费保证机构正常运转　</w:t>
            </w:r>
          </w:p>
        </w:tc>
        <w:tc>
          <w:tcPr>
            <w:tcW w:w="1065"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95" w:type="dxa"/>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7.5</w:t>
            </w:r>
            <w:r>
              <w:rPr>
                <w:rFonts w:hint="eastAsia" w:asciiTheme="minorEastAsia" w:hAnsiTheme="minorEastAsia" w:eastAsiaTheme="minorEastAsia" w:cstheme="minorEastAsia"/>
                <w:color w:val="000000"/>
                <w:kern w:val="0"/>
                <w:sz w:val="18"/>
                <w:szCs w:val="18"/>
              </w:rPr>
              <w:t>　</w:t>
            </w:r>
          </w:p>
        </w:tc>
        <w:tc>
          <w:tcPr>
            <w:tcW w:w="265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c>
          <w:tcPr>
            <w:tcW w:w="41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58"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104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产出进度</w:t>
            </w:r>
          </w:p>
        </w:tc>
        <w:tc>
          <w:tcPr>
            <w:tcW w:w="128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按合同约定和工作计划规范有序安排工作进度，10月底前完成预算支付　</w:t>
            </w:r>
          </w:p>
        </w:tc>
        <w:tc>
          <w:tcPr>
            <w:tcW w:w="127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按合同约定和工作计划规范有序安排工作进度，1</w:t>
            </w:r>
            <w:r>
              <w:rPr>
                <w:rFonts w:hint="eastAsia" w:asciiTheme="minorEastAsia" w:hAnsiTheme="minorEastAsia" w:eastAsiaTheme="minorEastAsia" w:cstheme="minorEastAsia"/>
                <w:color w:val="000000"/>
                <w:kern w:val="0"/>
                <w:sz w:val="18"/>
                <w:szCs w:val="18"/>
                <w:lang w:val="en-US" w:eastAsia="zh-CN"/>
              </w:rPr>
              <w:t>2</w:t>
            </w:r>
            <w:r>
              <w:rPr>
                <w:rFonts w:hint="eastAsia" w:asciiTheme="minorEastAsia" w:hAnsiTheme="minorEastAsia" w:eastAsiaTheme="minorEastAsia" w:cstheme="minorEastAsia"/>
                <w:color w:val="000000"/>
                <w:kern w:val="0"/>
                <w:sz w:val="18"/>
                <w:szCs w:val="18"/>
              </w:rPr>
              <w:t>月底前完成预算支付　　</w:t>
            </w:r>
          </w:p>
        </w:tc>
        <w:tc>
          <w:tcPr>
            <w:tcW w:w="1065"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95"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6.5</w:t>
            </w:r>
            <w:r>
              <w:rPr>
                <w:rFonts w:hint="eastAsia" w:asciiTheme="minorEastAsia" w:hAnsiTheme="minorEastAsia" w:eastAsiaTheme="minorEastAsia" w:cstheme="minorEastAsia"/>
                <w:color w:val="000000"/>
                <w:kern w:val="0"/>
                <w:sz w:val="18"/>
                <w:szCs w:val="18"/>
              </w:rPr>
              <w:t>　</w:t>
            </w:r>
          </w:p>
        </w:tc>
        <w:tc>
          <w:tcPr>
            <w:tcW w:w="265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c>
          <w:tcPr>
            <w:tcW w:w="41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75"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104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产出成本</w:t>
            </w:r>
          </w:p>
        </w:tc>
        <w:tc>
          <w:tcPr>
            <w:tcW w:w="128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本着厉行节约原则，支出小于预算批复数8,865.162873万元，按照市委市政府要求及其他特殊情况增加预算支出除外。旨在提高单位预算管理水平，充分发挥财政资金使用效益。　</w:t>
            </w:r>
          </w:p>
        </w:tc>
        <w:tc>
          <w:tcPr>
            <w:tcW w:w="127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实际支出8365.96万元，小于年初预算批复数和调整预算数</w:t>
            </w:r>
          </w:p>
        </w:tc>
        <w:tc>
          <w:tcPr>
            <w:tcW w:w="10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95"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7.5</w:t>
            </w:r>
            <w:r>
              <w:rPr>
                <w:rFonts w:hint="eastAsia" w:asciiTheme="minorEastAsia" w:hAnsiTheme="minorEastAsia" w:eastAsiaTheme="minorEastAsia" w:cstheme="minorEastAsia"/>
                <w:color w:val="000000"/>
                <w:kern w:val="0"/>
                <w:sz w:val="18"/>
                <w:szCs w:val="18"/>
              </w:rPr>
              <w:t>　</w:t>
            </w:r>
          </w:p>
        </w:tc>
        <w:tc>
          <w:tcPr>
            <w:tcW w:w="265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c>
          <w:tcPr>
            <w:tcW w:w="41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380"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效果（30）</w:t>
            </w:r>
          </w:p>
        </w:tc>
        <w:tc>
          <w:tcPr>
            <w:tcW w:w="104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社会效益</w:t>
            </w:r>
          </w:p>
        </w:tc>
        <w:tc>
          <w:tcPr>
            <w:tcW w:w="128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市妇联系统通过开展25个项目，服务于妇女儿童事业，引导、树立良好家教家风的传承，为广大妇女儿童提供更多服务，加强基层组织服务妇女群众的能力，维护妇女儿童合法权益，为北京市城镇妇女创业就业提供条件，保持与社会各界妇女的联系，维护社会和谐稳定。　</w:t>
            </w:r>
          </w:p>
        </w:tc>
        <w:tc>
          <w:tcPr>
            <w:tcW w:w="127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部门履行职责</w:t>
            </w:r>
            <w:r>
              <w:rPr>
                <w:rFonts w:hint="eastAsia" w:asciiTheme="minorEastAsia" w:hAnsiTheme="minorEastAsia" w:eastAsiaTheme="minorEastAsia" w:cstheme="minorEastAsia"/>
                <w:color w:val="000000"/>
                <w:kern w:val="0"/>
                <w:sz w:val="18"/>
                <w:szCs w:val="18"/>
                <w:lang w:val="en-US" w:eastAsia="zh-CN"/>
              </w:rPr>
              <w:t>带来了良好的社会效益</w:t>
            </w:r>
            <w:r>
              <w:rPr>
                <w:rFonts w:hint="eastAsia" w:asciiTheme="minorEastAsia" w:hAnsiTheme="minorEastAsia" w:eastAsiaTheme="minorEastAsia" w:cstheme="minorEastAsia"/>
                <w:color w:val="000000"/>
                <w:kern w:val="0"/>
                <w:sz w:val="18"/>
                <w:szCs w:val="18"/>
              </w:rPr>
              <w:t>　</w:t>
            </w:r>
          </w:p>
        </w:tc>
        <w:tc>
          <w:tcPr>
            <w:tcW w:w="10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1095"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14</w:t>
            </w:r>
            <w:r>
              <w:rPr>
                <w:rFonts w:hint="eastAsia" w:asciiTheme="minorEastAsia" w:hAnsiTheme="minorEastAsia" w:eastAsiaTheme="minorEastAsia" w:cstheme="minorEastAsia"/>
                <w:color w:val="000000"/>
                <w:kern w:val="0"/>
                <w:sz w:val="18"/>
                <w:szCs w:val="18"/>
              </w:rPr>
              <w:t>　</w:t>
            </w:r>
          </w:p>
        </w:tc>
        <w:tc>
          <w:tcPr>
            <w:tcW w:w="265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1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104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可持续影响效益</w:t>
            </w:r>
          </w:p>
        </w:tc>
        <w:tc>
          <w:tcPr>
            <w:tcW w:w="128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倡导家庭文明促进社会和谐，提升为妇女儿童服务和基层服务水平，提升全市妇女儿童能力素质，保障妇女儿童合法权益，加强与社会各界的联系，推动学习型、服务型、创新型妇女事业的发展，促进了男女平等的社会新风貌。　</w:t>
            </w:r>
          </w:p>
        </w:tc>
        <w:tc>
          <w:tcPr>
            <w:tcW w:w="127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部门履行职责</w:t>
            </w:r>
            <w:r>
              <w:rPr>
                <w:rFonts w:hint="eastAsia" w:asciiTheme="minorEastAsia" w:hAnsiTheme="minorEastAsia" w:eastAsiaTheme="minorEastAsia" w:cstheme="minorEastAsia"/>
                <w:color w:val="000000"/>
                <w:kern w:val="0"/>
                <w:sz w:val="18"/>
                <w:szCs w:val="18"/>
                <w:lang w:val="en-US" w:eastAsia="zh-CN"/>
              </w:rPr>
              <w:t>提升了妇联组织在发展妇女儿童事业方面的可持续影响力</w:t>
            </w:r>
            <w:r>
              <w:rPr>
                <w:rFonts w:hint="eastAsia" w:asciiTheme="minorEastAsia" w:hAnsiTheme="minorEastAsia" w:eastAsiaTheme="minorEastAsia" w:cstheme="minorEastAsia"/>
                <w:color w:val="000000"/>
                <w:kern w:val="0"/>
                <w:sz w:val="18"/>
                <w:szCs w:val="18"/>
              </w:rPr>
              <w:t>　</w:t>
            </w:r>
          </w:p>
        </w:tc>
        <w:tc>
          <w:tcPr>
            <w:tcW w:w="10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rPr>
            </w:pPr>
          </w:p>
        </w:tc>
        <w:tc>
          <w:tcPr>
            <w:tcW w:w="1095"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14</w:t>
            </w:r>
            <w:r>
              <w:rPr>
                <w:rFonts w:hint="eastAsia" w:asciiTheme="minorEastAsia" w:hAnsiTheme="minorEastAsia" w:eastAsiaTheme="minorEastAsia" w:cstheme="minorEastAsia"/>
                <w:color w:val="000000"/>
                <w:kern w:val="0"/>
                <w:sz w:val="18"/>
                <w:szCs w:val="18"/>
              </w:rPr>
              <w:t>　</w:t>
            </w:r>
          </w:p>
        </w:tc>
        <w:tc>
          <w:tcPr>
            <w:tcW w:w="265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c>
          <w:tcPr>
            <w:tcW w:w="41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1417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三、预算管理情况（20分）</w:t>
            </w:r>
          </w:p>
        </w:tc>
      </w:tr>
      <w:tr>
        <w:tblPrEx>
          <w:tblLayout w:type="fixed"/>
          <w:tblCellMar>
            <w:top w:w="0" w:type="dxa"/>
            <w:left w:w="108" w:type="dxa"/>
            <w:bottom w:w="0" w:type="dxa"/>
            <w:right w:w="108" w:type="dxa"/>
          </w:tblCellMar>
        </w:tblPrEx>
        <w:trPr>
          <w:trHeight w:val="702" w:hRule="atLeast"/>
        </w:trPr>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一</w:t>
            </w:r>
            <w:r>
              <w:rPr>
                <w:rFonts w:hint="default" w:ascii="宋体" w:hAnsi="宋体" w:cs="宋体"/>
                <w:color w:val="000000"/>
                <w:kern w:val="0"/>
                <w:sz w:val="20"/>
                <w:szCs w:val="20"/>
              </w:rPr>
              <w:t>级指标</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二</w:t>
            </w:r>
            <w:r>
              <w:rPr>
                <w:rFonts w:hint="default" w:ascii="宋体" w:hAnsi="宋体" w:cs="宋体"/>
                <w:color w:val="000000"/>
                <w:kern w:val="0"/>
                <w:sz w:val="20"/>
                <w:szCs w:val="20"/>
              </w:rPr>
              <w:t>级指标</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三级指标</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指标值</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完成值</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分值</w:t>
            </w:r>
          </w:p>
        </w:tc>
        <w:tc>
          <w:tcPr>
            <w:tcW w:w="1095" w:type="dxa"/>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得分</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b/>
                <w:bCs/>
                <w:color w:val="000000"/>
                <w:kern w:val="0"/>
                <w:sz w:val="18"/>
                <w:szCs w:val="18"/>
              </w:rPr>
            </w:pPr>
            <w:r>
              <w:rPr>
                <w:rFonts w:hint="eastAsia" w:ascii="宋体" w:hAnsi="宋体" w:cs="宋体"/>
                <w:bCs/>
                <w:color w:val="000000"/>
                <w:kern w:val="0"/>
                <w:sz w:val="18"/>
                <w:szCs w:val="18"/>
              </w:rPr>
              <w:t>指标</w:t>
            </w:r>
            <w:r>
              <w:rPr>
                <w:rFonts w:hint="default" w:ascii="宋体" w:hAnsi="宋体" w:cs="宋体"/>
                <w:bCs/>
                <w:color w:val="000000"/>
                <w:kern w:val="0"/>
                <w:sz w:val="18"/>
                <w:szCs w:val="18"/>
              </w:rPr>
              <w:t>解释</w:t>
            </w:r>
          </w:p>
        </w:tc>
        <w:tc>
          <w:tcPr>
            <w:tcW w:w="4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评</w:t>
            </w:r>
            <w:r>
              <w:rPr>
                <w:rFonts w:hint="default"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230"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预算管理情况（20）</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财务管理（4）</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财务管理制度健全性</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预算资金管理办法、绩效跟踪管理办法、资产管理办法等各项制度健全；部门内部财务管理制度完整、合规；会计核算制度完整、合规　</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部门</w:t>
            </w:r>
            <w:r>
              <w:rPr>
                <w:rFonts w:hint="eastAsia" w:asciiTheme="minorEastAsia" w:hAnsiTheme="minorEastAsia" w:eastAsiaTheme="minorEastAsia" w:cstheme="minorEastAsia"/>
                <w:color w:val="000000"/>
                <w:kern w:val="0"/>
                <w:sz w:val="18"/>
                <w:szCs w:val="18"/>
              </w:rPr>
              <w:t>财务管理制度</w:t>
            </w:r>
            <w:r>
              <w:rPr>
                <w:rFonts w:hint="eastAsia" w:asciiTheme="minorEastAsia" w:hAnsiTheme="minorEastAsia" w:eastAsiaTheme="minorEastAsia" w:cstheme="minorEastAsia"/>
                <w:color w:val="000000"/>
                <w:kern w:val="0"/>
                <w:sz w:val="18"/>
                <w:szCs w:val="18"/>
                <w:lang w:val="en-US" w:eastAsia="zh-CN"/>
              </w:rPr>
              <w:t>不断完善</w:t>
            </w:r>
            <w:r>
              <w:rPr>
                <w:rFonts w:hint="eastAsia" w:asciiTheme="minorEastAsia" w:hAnsiTheme="minorEastAsia" w:eastAsiaTheme="minorEastAsia" w:cstheme="minorEastAsia"/>
                <w:color w:val="000000"/>
                <w:kern w:val="0"/>
                <w:sz w:val="18"/>
                <w:szCs w:val="18"/>
              </w:rPr>
              <w:t>　</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095" w:type="dxa"/>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w:t>
            </w:r>
            <w:r>
              <w:rPr>
                <w:rFonts w:hint="eastAsia" w:asciiTheme="minorEastAsia" w:hAnsiTheme="minorEastAsia" w:eastAsiaTheme="minorEastAsia" w:cstheme="minorEastAsia"/>
                <w:color w:val="000000"/>
                <w:kern w:val="0"/>
                <w:sz w:val="18"/>
                <w:szCs w:val="18"/>
              </w:rPr>
              <w:t>　</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220" w:hRule="atLeast"/>
        </w:trPr>
        <w:tc>
          <w:tcPr>
            <w:tcW w:w="81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资金使用合规性和安全性</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符合国家财经法规和财务管理制度规定以及有关专项资金管理办法的规定；资金的拨付有完整的审批程序和手续；项目的重大开支经过评估论证；符合部门预算批复的用途；</w:t>
            </w:r>
            <w:r>
              <w:rPr>
                <w:rFonts w:hint="eastAsia" w:asciiTheme="minorEastAsia" w:hAnsiTheme="minorEastAsia" w:eastAsiaTheme="minorEastAsia" w:cstheme="minorEastAsia"/>
                <w:color w:val="000000"/>
                <w:kern w:val="0"/>
                <w:sz w:val="18"/>
                <w:szCs w:val="18"/>
                <w:lang w:val="en-US" w:eastAsia="zh-CN"/>
              </w:rPr>
              <w:t>不</w:t>
            </w:r>
            <w:r>
              <w:rPr>
                <w:rFonts w:hint="eastAsia" w:asciiTheme="minorEastAsia" w:hAnsiTheme="minorEastAsia" w:eastAsiaTheme="minorEastAsia" w:cstheme="minorEastAsia"/>
                <w:color w:val="000000"/>
                <w:kern w:val="0"/>
                <w:sz w:val="18"/>
                <w:szCs w:val="18"/>
              </w:rPr>
              <w:t>存在截留、挤占、挪用情况；资金使用符合政府采购的程序和流程；资金使用符合公务卡结算相关制度和规定。　</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部门使用预算资金符合相关的预算财务管理制度的规定，符合相关规定的开支范围　</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095" w:type="dxa"/>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2</w:t>
            </w:r>
            <w:r>
              <w:rPr>
                <w:rFonts w:hint="eastAsia" w:asciiTheme="minorEastAsia" w:hAnsiTheme="minorEastAsia" w:eastAsiaTheme="minorEastAsia" w:cstheme="minorEastAsia"/>
                <w:color w:val="000000"/>
                <w:kern w:val="0"/>
                <w:sz w:val="18"/>
                <w:szCs w:val="18"/>
              </w:rPr>
              <w:t>　</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104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会计基础信息完善性</w:t>
            </w:r>
          </w:p>
        </w:tc>
        <w:tc>
          <w:tcPr>
            <w:tcW w:w="128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基础数据信息和会计信息资料真实</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完整</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准确。　</w:t>
            </w:r>
          </w:p>
        </w:tc>
        <w:tc>
          <w:tcPr>
            <w:tcW w:w="127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基础数据信息和会计信息资料真实</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完整</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准确。　</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095"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w:t>
            </w:r>
            <w:r>
              <w:rPr>
                <w:rFonts w:hint="eastAsia" w:asciiTheme="minorEastAsia" w:hAnsiTheme="minorEastAsia" w:eastAsiaTheme="minorEastAsia" w:cstheme="minorEastAsia"/>
                <w:color w:val="000000"/>
                <w:kern w:val="0"/>
                <w:sz w:val="18"/>
                <w:szCs w:val="18"/>
              </w:rPr>
              <w:t>　</w:t>
            </w:r>
          </w:p>
        </w:tc>
        <w:tc>
          <w:tcPr>
            <w:tcW w:w="26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12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2220"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资产管理（4）</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资产管理规范性</w:t>
            </w: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不存在</w:t>
            </w:r>
            <w:r>
              <w:rPr>
                <w:rFonts w:hint="eastAsia" w:asciiTheme="minorEastAsia" w:hAnsiTheme="minorEastAsia" w:eastAsiaTheme="minorEastAsia" w:cstheme="minorEastAsia"/>
                <w:color w:val="000000"/>
                <w:kern w:val="0"/>
                <w:sz w:val="18"/>
                <w:szCs w:val="18"/>
              </w:rPr>
              <w:t>因管理不当发生严重资产损失和丢失情况；</w:t>
            </w:r>
            <w:r>
              <w:rPr>
                <w:rFonts w:hint="eastAsia" w:asciiTheme="minorEastAsia" w:hAnsiTheme="minorEastAsia" w:eastAsiaTheme="minorEastAsia" w:cstheme="minorEastAsia"/>
                <w:color w:val="000000"/>
                <w:kern w:val="0"/>
                <w:sz w:val="18"/>
                <w:szCs w:val="18"/>
                <w:lang w:val="en-US" w:eastAsia="zh-CN"/>
              </w:rPr>
              <w:t>不</w:t>
            </w:r>
            <w:r>
              <w:rPr>
                <w:rFonts w:hint="eastAsia" w:asciiTheme="minorEastAsia" w:hAnsiTheme="minorEastAsia" w:eastAsiaTheme="minorEastAsia" w:cstheme="minorEastAsia"/>
                <w:color w:val="000000"/>
                <w:kern w:val="0"/>
                <w:sz w:val="18"/>
                <w:szCs w:val="18"/>
              </w:rPr>
              <w:t>存在超标准配置资产；资产使用规范，</w:t>
            </w:r>
            <w:r>
              <w:rPr>
                <w:rFonts w:hint="eastAsia" w:asciiTheme="minorEastAsia" w:hAnsiTheme="minorEastAsia" w:eastAsiaTheme="minorEastAsia" w:cstheme="minorEastAsia"/>
                <w:color w:val="000000"/>
                <w:kern w:val="0"/>
                <w:sz w:val="18"/>
                <w:szCs w:val="18"/>
                <w:lang w:val="en-US" w:eastAsia="zh-CN"/>
              </w:rPr>
              <w:t>不</w:t>
            </w:r>
            <w:r>
              <w:rPr>
                <w:rFonts w:hint="eastAsia" w:asciiTheme="minorEastAsia" w:hAnsiTheme="minorEastAsia" w:eastAsiaTheme="minorEastAsia" w:cstheme="minorEastAsia"/>
                <w:color w:val="000000"/>
                <w:kern w:val="0"/>
                <w:sz w:val="18"/>
                <w:szCs w:val="18"/>
              </w:rPr>
              <w:t>存在未经批准擅自出租、出借资产行为；资产处置规范，</w:t>
            </w:r>
            <w:r>
              <w:rPr>
                <w:rFonts w:hint="eastAsia" w:asciiTheme="minorEastAsia" w:hAnsiTheme="minorEastAsia" w:eastAsiaTheme="minorEastAsia" w:cstheme="minorEastAsia"/>
                <w:color w:val="000000"/>
                <w:kern w:val="0"/>
                <w:sz w:val="18"/>
                <w:szCs w:val="18"/>
                <w:lang w:val="en-US" w:eastAsia="zh-CN"/>
              </w:rPr>
              <w:t>不</w:t>
            </w:r>
            <w:r>
              <w:rPr>
                <w:rFonts w:hint="eastAsia" w:asciiTheme="minorEastAsia" w:hAnsiTheme="minorEastAsia" w:eastAsiaTheme="minorEastAsia" w:cstheme="minorEastAsia"/>
                <w:color w:val="000000"/>
                <w:kern w:val="0"/>
                <w:sz w:val="18"/>
                <w:szCs w:val="18"/>
              </w:rPr>
              <w:t>存在不按要求进行报批或资产不公开处置行为</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部门的资产安全完整，资产配置合理，资产使用和资产处理规范</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4</w:t>
            </w:r>
            <w:r>
              <w:rPr>
                <w:rFonts w:hint="eastAsia" w:asciiTheme="minorEastAsia" w:hAnsiTheme="minorEastAsia" w:eastAsiaTheme="minorEastAsia" w:cstheme="minorEastAsia"/>
                <w:color w:val="000000"/>
                <w:kern w:val="0"/>
                <w:sz w:val="18"/>
                <w:szCs w:val="18"/>
              </w:rPr>
              <w:t>　</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750"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绩效管理（4）</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绩效管理情况</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部门及时对绩效信息进行汇总分析整理；部门对绩效目标偏离情况及时进行矫正</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部门注重绩效管理工作，做好绩效管理信息汇总和应用</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95" w:type="dxa"/>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4</w:t>
            </w:r>
            <w:r>
              <w:rPr>
                <w:rFonts w:hint="eastAsia" w:asciiTheme="minorEastAsia" w:hAnsiTheme="minorEastAsia" w:eastAsiaTheme="minorEastAsia" w:cstheme="minorEastAsia"/>
                <w:color w:val="000000"/>
                <w:kern w:val="0"/>
                <w:sz w:val="18"/>
                <w:szCs w:val="18"/>
              </w:rPr>
              <w:t>　</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94"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指标　</w:t>
            </w:r>
          </w:p>
        </w:tc>
        <w:tc>
          <w:tcPr>
            <w:tcW w:w="233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2020年</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2021年</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分值</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得分</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bCs/>
                <w:color w:val="000000"/>
                <w:kern w:val="0"/>
                <w:sz w:val="18"/>
                <w:szCs w:val="18"/>
              </w:rPr>
              <w:t>指标</w:t>
            </w:r>
            <w:r>
              <w:rPr>
                <w:rFonts w:hint="default" w:ascii="宋体" w:hAnsi="宋体" w:cs="宋体"/>
                <w:bCs/>
                <w:color w:val="000000"/>
                <w:kern w:val="0"/>
                <w:sz w:val="18"/>
                <w:szCs w:val="18"/>
              </w:rPr>
              <w:t>解释</w:t>
            </w:r>
          </w:p>
        </w:tc>
        <w:tc>
          <w:tcPr>
            <w:tcW w:w="4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eastAsia="Times New Roman"/>
                <w:kern w:val="0"/>
                <w:sz w:val="20"/>
                <w:szCs w:val="20"/>
              </w:rPr>
            </w:pPr>
            <w:r>
              <w:rPr>
                <w:rFonts w:hint="eastAsia" w:ascii="宋体" w:hAnsi="宋体" w:cs="宋体"/>
                <w:color w:val="000000"/>
                <w:kern w:val="0"/>
                <w:sz w:val="18"/>
                <w:szCs w:val="18"/>
              </w:rPr>
              <w:t>评</w:t>
            </w:r>
            <w:r>
              <w:rPr>
                <w:rFonts w:hint="default"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365"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rPr>
                <w:rFonts w:hint="default" w:ascii="宋体" w:hAnsi="宋体" w:cs="宋体"/>
                <w:color w:val="000000"/>
                <w:kern w:val="0"/>
                <w:sz w:val="20"/>
                <w:szCs w:val="20"/>
              </w:rPr>
            </w:pPr>
            <w:r>
              <w:rPr>
                <w:rFonts w:hint="eastAsia" w:ascii="宋体" w:hAnsi="宋体" w:cs="宋体"/>
                <w:color w:val="000000"/>
                <w:kern w:val="0"/>
                <w:sz w:val="20"/>
                <w:szCs w:val="20"/>
              </w:rPr>
              <w:t>结转结余率（4）</w:t>
            </w:r>
          </w:p>
        </w:tc>
        <w:tc>
          <w:tcPr>
            <w:tcW w:w="233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1.87%</w:t>
            </w:r>
            <w:r>
              <w:rPr>
                <w:rFonts w:hint="eastAsia" w:asciiTheme="minorEastAsia" w:hAnsiTheme="minorEastAsia" w:eastAsiaTheme="minorEastAsia" w:cstheme="minorEastAsia"/>
                <w:color w:val="000000"/>
                <w:kern w:val="0"/>
                <w:sz w:val="18"/>
                <w:szCs w:val="18"/>
              </w:rPr>
              <w:t>　</w:t>
            </w:r>
          </w:p>
        </w:tc>
        <w:tc>
          <w:tcPr>
            <w:tcW w:w="1278"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10.47%</w:t>
            </w:r>
            <w:r>
              <w:rPr>
                <w:rFonts w:hint="eastAsia" w:asciiTheme="minorEastAsia" w:hAnsiTheme="minorEastAsia" w:eastAsiaTheme="minorEastAsia" w:cstheme="minorEastAsia"/>
                <w:color w:val="000000"/>
                <w:kern w:val="0"/>
                <w:sz w:val="18"/>
                <w:szCs w:val="18"/>
              </w:rPr>
              <w:t>　</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95"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0.8</w:t>
            </w:r>
            <w:r>
              <w:rPr>
                <w:rFonts w:hint="eastAsia" w:asciiTheme="minorEastAsia" w:hAnsiTheme="minorEastAsia" w:eastAsiaTheme="minorEastAsia" w:cstheme="minorEastAsia"/>
                <w:color w:val="000000"/>
                <w:kern w:val="0"/>
                <w:sz w:val="18"/>
                <w:szCs w:val="18"/>
              </w:rPr>
              <w:t>　</w:t>
            </w:r>
          </w:p>
        </w:tc>
        <w:tc>
          <w:tcPr>
            <w:tcW w:w="2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81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20"/>
                <w:szCs w:val="20"/>
              </w:rPr>
            </w:pPr>
          </w:p>
        </w:tc>
        <w:tc>
          <w:tcPr>
            <w:tcW w:w="81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rPr>
                <w:rFonts w:hint="default"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2331" w:type="dxa"/>
            <w:gridSpan w:val="2"/>
            <w:tcBorders>
              <w:top w:val="single" w:color="auto" w:sz="4" w:space="0"/>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278"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　</w:t>
            </w:r>
            <w:r>
              <w:rPr>
                <w:rFonts w:hint="eastAsia" w:asciiTheme="minorEastAsia" w:hAnsiTheme="minorEastAsia" w:eastAsiaTheme="minorEastAsia" w:cstheme="minorEastAsia"/>
                <w:color w:val="000000"/>
                <w:kern w:val="0"/>
                <w:sz w:val="18"/>
                <w:szCs w:val="18"/>
                <w:lang w:val="en-US" w:eastAsia="zh-CN"/>
              </w:rPr>
              <w:t>5.40%</w:t>
            </w:r>
            <w:bookmarkStart w:id="1" w:name="_GoBack"/>
            <w:bookmarkEnd w:id="1"/>
          </w:p>
        </w:tc>
        <w:tc>
          <w:tcPr>
            <w:tcW w:w="10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95"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4</w:t>
            </w:r>
            <w:r>
              <w:rPr>
                <w:rFonts w:hint="eastAsia" w:asciiTheme="minorEastAsia" w:hAnsiTheme="minorEastAsia" w:eastAsiaTheme="minorEastAsia" w:cstheme="minorEastAsia"/>
                <w:color w:val="000000"/>
                <w:kern w:val="0"/>
                <w:sz w:val="18"/>
                <w:szCs w:val="18"/>
              </w:rPr>
              <w:t>　</w:t>
            </w:r>
          </w:p>
        </w:tc>
        <w:tc>
          <w:tcPr>
            <w:tcW w:w="26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12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rPr>
                <w:rFonts w:hint="default"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404" w:hRule="atLeast"/>
        </w:trPr>
        <w:tc>
          <w:tcPr>
            <w:tcW w:w="52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合计</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095"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both"/>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  91.71</w:t>
            </w:r>
            <w:r>
              <w:rPr>
                <w:rFonts w:hint="eastAsia" w:ascii="宋体" w:hAnsi="宋体" w:cs="宋体"/>
                <w:color w:val="000000"/>
                <w:kern w:val="0"/>
                <w:sz w:val="18"/>
                <w:szCs w:val="18"/>
              </w:rPr>
              <w:t>　</w:t>
            </w:r>
          </w:p>
        </w:tc>
        <w:tc>
          <w:tcPr>
            <w:tcW w:w="6779"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r>
    </w:tbl>
    <w:p>
      <w:pPr>
        <w:keepNext w:val="0"/>
        <w:keepLines w:val="0"/>
        <w:pageBreakBefore w:val="0"/>
        <w:kinsoku/>
        <w:wordWrap/>
        <w:overflowPunct/>
        <w:topLinePunct w:val="0"/>
        <w:autoSpaceDE/>
        <w:autoSpaceDN/>
        <w:bidi w:val="0"/>
        <w:spacing w:line="560" w:lineRule="exact"/>
        <w:ind w:left="-21" w:leftChars="-10" w:right="42" w:rightChars="20"/>
      </w:pPr>
    </w:p>
    <w:p>
      <w:pPr>
        <w:keepNext w:val="0"/>
        <w:keepLines w:val="0"/>
        <w:pageBreakBefore w:val="0"/>
        <w:kinsoku/>
        <w:wordWrap/>
        <w:overflowPunct/>
        <w:topLinePunct w:val="0"/>
        <w:autoSpaceDE/>
        <w:autoSpaceDN/>
        <w:bidi w:val="0"/>
        <w:spacing w:line="560" w:lineRule="exact"/>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永中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F69AA"/>
    <w:multiLevelType w:val="singleLevel"/>
    <w:tmpl w:val="DF5F69AA"/>
    <w:lvl w:ilvl="0" w:tentative="0">
      <w:start w:val="2"/>
      <w:numFmt w:val="chineseCounting"/>
      <w:suff w:val="nothing"/>
      <w:lvlText w:val="（%1）"/>
      <w:lvlJc w:val="left"/>
      <w:rPr>
        <w:rFonts w:hint="eastAsia"/>
      </w:rPr>
    </w:lvl>
  </w:abstractNum>
  <w:abstractNum w:abstractNumId="1">
    <w:nsid w:val="3EFC171E"/>
    <w:multiLevelType w:val="singleLevel"/>
    <w:tmpl w:val="3EFC171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M2I0ODVmOTJlZGFlMzNkMTFkNmFhNThjMGRmMDYifQ=="/>
  </w:docVars>
  <w:rsids>
    <w:rsidRoot w:val="F77F09F4"/>
    <w:rsid w:val="006764E6"/>
    <w:rsid w:val="00980ABB"/>
    <w:rsid w:val="00A654EF"/>
    <w:rsid w:val="046792A1"/>
    <w:rsid w:val="04924F12"/>
    <w:rsid w:val="07F55D30"/>
    <w:rsid w:val="0ECF9C51"/>
    <w:rsid w:val="100A09BE"/>
    <w:rsid w:val="12730A42"/>
    <w:rsid w:val="12FA35E2"/>
    <w:rsid w:val="156F8225"/>
    <w:rsid w:val="16C14145"/>
    <w:rsid w:val="18243518"/>
    <w:rsid w:val="186034C6"/>
    <w:rsid w:val="18D205AB"/>
    <w:rsid w:val="18F73200"/>
    <w:rsid w:val="1B7F6B87"/>
    <w:rsid w:val="1D6D23EE"/>
    <w:rsid w:val="1DBE37FA"/>
    <w:rsid w:val="1E3F1F7E"/>
    <w:rsid w:val="1F56E1FE"/>
    <w:rsid w:val="1FB69F77"/>
    <w:rsid w:val="1FC83960"/>
    <w:rsid w:val="1FEB12A4"/>
    <w:rsid w:val="21A53087"/>
    <w:rsid w:val="21FD729B"/>
    <w:rsid w:val="22CB5B81"/>
    <w:rsid w:val="23046FB3"/>
    <w:rsid w:val="2378C7C8"/>
    <w:rsid w:val="237A0137"/>
    <w:rsid w:val="26EF981E"/>
    <w:rsid w:val="287C5379"/>
    <w:rsid w:val="28D43150"/>
    <w:rsid w:val="29EFB15E"/>
    <w:rsid w:val="2BF8D530"/>
    <w:rsid w:val="2C293F03"/>
    <w:rsid w:val="2E767B25"/>
    <w:rsid w:val="2E7E740B"/>
    <w:rsid w:val="2EB13D0C"/>
    <w:rsid w:val="303B22FD"/>
    <w:rsid w:val="311635A4"/>
    <w:rsid w:val="320D7E0E"/>
    <w:rsid w:val="326F8BC4"/>
    <w:rsid w:val="33FD5A01"/>
    <w:rsid w:val="37173543"/>
    <w:rsid w:val="372FE093"/>
    <w:rsid w:val="3A3A000C"/>
    <w:rsid w:val="3BEB32A8"/>
    <w:rsid w:val="3BF31BEE"/>
    <w:rsid w:val="3C19E75A"/>
    <w:rsid w:val="3DFB22C2"/>
    <w:rsid w:val="3E717833"/>
    <w:rsid w:val="3EFB7EAA"/>
    <w:rsid w:val="3EFE7388"/>
    <w:rsid w:val="3FBB3D7A"/>
    <w:rsid w:val="3FE2C9FA"/>
    <w:rsid w:val="3FF76880"/>
    <w:rsid w:val="3FF95EF1"/>
    <w:rsid w:val="3FFBFF75"/>
    <w:rsid w:val="44AFEBBD"/>
    <w:rsid w:val="46577447"/>
    <w:rsid w:val="469C5C45"/>
    <w:rsid w:val="470D4E2D"/>
    <w:rsid w:val="49151674"/>
    <w:rsid w:val="4AD46A7D"/>
    <w:rsid w:val="4BB88798"/>
    <w:rsid w:val="4DEFDCEB"/>
    <w:rsid w:val="4E9DBAFA"/>
    <w:rsid w:val="4EF39EF3"/>
    <w:rsid w:val="4F3F7135"/>
    <w:rsid w:val="52DDFA1F"/>
    <w:rsid w:val="52FFCCD9"/>
    <w:rsid w:val="53BE40A3"/>
    <w:rsid w:val="565F970A"/>
    <w:rsid w:val="5695163C"/>
    <w:rsid w:val="575EA60F"/>
    <w:rsid w:val="577E49D7"/>
    <w:rsid w:val="57B7823D"/>
    <w:rsid w:val="57E7057E"/>
    <w:rsid w:val="57EF105C"/>
    <w:rsid w:val="583742BE"/>
    <w:rsid w:val="58E4B7A5"/>
    <w:rsid w:val="58FFBC14"/>
    <w:rsid w:val="59E1366D"/>
    <w:rsid w:val="59EFF44F"/>
    <w:rsid w:val="5ADD3030"/>
    <w:rsid w:val="5AFB7D2F"/>
    <w:rsid w:val="5DDCBA6A"/>
    <w:rsid w:val="5DFBC79A"/>
    <w:rsid w:val="5F5C266C"/>
    <w:rsid w:val="5F7F768C"/>
    <w:rsid w:val="5FBAFB50"/>
    <w:rsid w:val="5FDF7797"/>
    <w:rsid w:val="5FDFF5EF"/>
    <w:rsid w:val="5FFB7533"/>
    <w:rsid w:val="5FFED0EB"/>
    <w:rsid w:val="607FCB13"/>
    <w:rsid w:val="6410790E"/>
    <w:rsid w:val="66737B66"/>
    <w:rsid w:val="66DEFB62"/>
    <w:rsid w:val="67337BD3"/>
    <w:rsid w:val="6751F924"/>
    <w:rsid w:val="677FF29E"/>
    <w:rsid w:val="67DD6B0D"/>
    <w:rsid w:val="698E0152"/>
    <w:rsid w:val="6A7FD7D5"/>
    <w:rsid w:val="6BB3D79F"/>
    <w:rsid w:val="6BDE4935"/>
    <w:rsid w:val="6BF3E313"/>
    <w:rsid w:val="6C06505F"/>
    <w:rsid w:val="6C777B0C"/>
    <w:rsid w:val="6CEA40C7"/>
    <w:rsid w:val="6DFEB2BF"/>
    <w:rsid w:val="6E2E265A"/>
    <w:rsid w:val="6E2FD27A"/>
    <w:rsid w:val="6EFFBE47"/>
    <w:rsid w:val="6F464CED"/>
    <w:rsid w:val="6FBB1DFF"/>
    <w:rsid w:val="6FC7FE66"/>
    <w:rsid w:val="6FDDAC11"/>
    <w:rsid w:val="6FEB8D39"/>
    <w:rsid w:val="6FEBCED4"/>
    <w:rsid w:val="6FEE846F"/>
    <w:rsid w:val="6FFF7876"/>
    <w:rsid w:val="70FD27BF"/>
    <w:rsid w:val="71971000"/>
    <w:rsid w:val="729B612F"/>
    <w:rsid w:val="73BB20BD"/>
    <w:rsid w:val="73DFE3E1"/>
    <w:rsid w:val="74EFD1AE"/>
    <w:rsid w:val="75AD3B9E"/>
    <w:rsid w:val="75FE506C"/>
    <w:rsid w:val="76DB48AD"/>
    <w:rsid w:val="775FF64A"/>
    <w:rsid w:val="7769C32B"/>
    <w:rsid w:val="77FB2D5A"/>
    <w:rsid w:val="787BA3DB"/>
    <w:rsid w:val="788133E3"/>
    <w:rsid w:val="78FF3FE8"/>
    <w:rsid w:val="7946222B"/>
    <w:rsid w:val="797FB255"/>
    <w:rsid w:val="79BF9525"/>
    <w:rsid w:val="79CA6DF5"/>
    <w:rsid w:val="79EA25E8"/>
    <w:rsid w:val="7AB7FF50"/>
    <w:rsid w:val="7AFF646D"/>
    <w:rsid w:val="7B64430F"/>
    <w:rsid w:val="7BDFE690"/>
    <w:rsid w:val="7BEB90D5"/>
    <w:rsid w:val="7BFEB0DB"/>
    <w:rsid w:val="7BFEF1C7"/>
    <w:rsid w:val="7CDD4ABB"/>
    <w:rsid w:val="7CEC7733"/>
    <w:rsid w:val="7D1F8F84"/>
    <w:rsid w:val="7D5E2C76"/>
    <w:rsid w:val="7D6B1D1E"/>
    <w:rsid w:val="7D9EFAE8"/>
    <w:rsid w:val="7DB624AE"/>
    <w:rsid w:val="7DFDEF6D"/>
    <w:rsid w:val="7E6F0404"/>
    <w:rsid w:val="7EBFD278"/>
    <w:rsid w:val="7EC9D9FA"/>
    <w:rsid w:val="7EEB467A"/>
    <w:rsid w:val="7EEB5DD9"/>
    <w:rsid w:val="7EEF36E3"/>
    <w:rsid w:val="7F3D8942"/>
    <w:rsid w:val="7F3D97C1"/>
    <w:rsid w:val="7F778F8A"/>
    <w:rsid w:val="7F9716F8"/>
    <w:rsid w:val="7FB81085"/>
    <w:rsid w:val="7FCBB205"/>
    <w:rsid w:val="7FDF7670"/>
    <w:rsid w:val="7FE22439"/>
    <w:rsid w:val="7FEB658B"/>
    <w:rsid w:val="7FEEB004"/>
    <w:rsid w:val="7FEF4AD4"/>
    <w:rsid w:val="7FF3D7B4"/>
    <w:rsid w:val="7FF7AF95"/>
    <w:rsid w:val="7FF9487D"/>
    <w:rsid w:val="7FFD4012"/>
    <w:rsid w:val="7FFF3306"/>
    <w:rsid w:val="7FFFC1EF"/>
    <w:rsid w:val="9BF5A794"/>
    <w:rsid w:val="9CFD50E4"/>
    <w:rsid w:val="9DC788D6"/>
    <w:rsid w:val="9DCF71F5"/>
    <w:rsid w:val="9DD62C43"/>
    <w:rsid w:val="9FF31384"/>
    <w:rsid w:val="A577B96B"/>
    <w:rsid w:val="A7375612"/>
    <w:rsid w:val="AACA7ABE"/>
    <w:rsid w:val="AAFFD17D"/>
    <w:rsid w:val="ABFB372C"/>
    <w:rsid w:val="ACDD92E0"/>
    <w:rsid w:val="AEBF6721"/>
    <w:rsid w:val="AFE7EBD3"/>
    <w:rsid w:val="AFEFDA3D"/>
    <w:rsid w:val="AFF14840"/>
    <w:rsid w:val="B1934E49"/>
    <w:rsid w:val="B34C99EC"/>
    <w:rsid w:val="B6FF1089"/>
    <w:rsid w:val="B7B1CC26"/>
    <w:rsid w:val="B7F3C46D"/>
    <w:rsid w:val="B7F782FB"/>
    <w:rsid w:val="B9E7AA84"/>
    <w:rsid w:val="BA7B23C6"/>
    <w:rsid w:val="BAADFD45"/>
    <w:rsid w:val="BB3C56C5"/>
    <w:rsid w:val="BD3650AD"/>
    <w:rsid w:val="BDF63D2F"/>
    <w:rsid w:val="BDFFAC24"/>
    <w:rsid w:val="BE7DE7D5"/>
    <w:rsid w:val="BED25061"/>
    <w:rsid w:val="BF7C9914"/>
    <w:rsid w:val="BF9DBE04"/>
    <w:rsid w:val="BFBA689D"/>
    <w:rsid w:val="BFBF6731"/>
    <w:rsid w:val="C36F37B1"/>
    <w:rsid w:val="C7FC5C3A"/>
    <w:rsid w:val="CDFB82F6"/>
    <w:rsid w:val="CEFD3F3D"/>
    <w:rsid w:val="CFACDED0"/>
    <w:rsid w:val="D36E6B1F"/>
    <w:rsid w:val="D36F495E"/>
    <w:rsid w:val="D3DEBFB0"/>
    <w:rsid w:val="D59D7845"/>
    <w:rsid w:val="D5FFEEF4"/>
    <w:rsid w:val="D6AF1876"/>
    <w:rsid w:val="D6D6D4A5"/>
    <w:rsid w:val="D771515E"/>
    <w:rsid w:val="D77F60C1"/>
    <w:rsid w:val="D7F3806E"/>
    <w:rsid w:val="DB16B2BD"/>
    <w:rsid w:val="DBFDEEE0"/>
    <w:rsid w:val="DD7FD50C"/>
    <w:rsid w:val="DDDEF182"/>
    <w:rsid w:val="DDFC804F"/>
    <w:rsid w:val="DFDEE707"/>
    <w:rsid w:val="DFF9D14A"/>
    <w:rsid w:val="DFFB0365"/>
    <w:rsid w:val="DFFF0498"/>
    <w:rsid w:val="E3F67FCB"/>
    <w:rsid w:val="E4FCA33F"/>
    <w:rsid w:val="E7FB84EE"/>
    <w:rsid w:val="E88F2CF7"/>
    <w:rsid w:val="E97CEEC6"/>
    <w:rsid w:val="E97DA666"/>
    <w:rsid w:val="EA3F77F2"/>
    <w:rsid w:val="EBBD349E"/>
    <w:rsid w:val="EEFA9C0C"/>
    <w:rsid w:val="EEFAC0DF"/>
    <w:rsid w:val="EEFE5989"/>
    <w:rsid w:val="EF1FC1B3"/>
    <w:rsid w:val="EF3E70B8"/>
    <w:rsid w:val="EF5E0B47"/>
    <w:rsid w:val="EF63E0DA"/>
    <w:rsid w:val="EFCF3EAE"/>
    <w:rsid w:val="EFD134C1"/>
    <w:rsid w:val="EFD7AA92"/>
    <w:rsid w:val="EFDF82AB"/>
    <w:rsid w:val="EFDFFBB1"/>
    <w:rsid w:val="EFF7DC9A"/>
    <w:rsid w:val="F35E2D10"/>
    <w:rsid w:val="F3F72790"/>
    <w:rsid w:val="F3FFD0CA"/>
    <w:rsid w:val="F5795633"/>
    <w:rsid w:val="F5B764A2"/>
    <w:rsid w:val="F5BBFB29"/>
    <w:rsid w:val="F5EB243A"/>
    <w:rsid w:val="F66FEF8C"/>
    <w:rsid w:val="F6EBFE63"/>
    <w:rsid w:val="F6ED6CEB"/>
    <w:rsid w:val="F70DB717"/>
    <w:rsid w:val="F77D94B3"/>
    <w:rsid w:val="F77F09F4"/>
    <w:rsid w:val="F7B7AAE6"/>
    <w:rsid w:val="F7D378B6"/>
    <w:rsid w:val="F7DB31AC"/>
    <w:rsid w:val="F7EF37FB"/>
    <w:rsid w:val="F7FEDA69"/>
    <w:rsid w:val="FBFADD57"/>
    <w:rsid w:val="FC5313CA"/>
    <w:rsid w:val="FCA9F8CC"/>
    <w:rsid w:val="FCFE67B4"/>
    <w:rsid w:val="FCFF4547"/>
    <w:rsid w:val="FD1EEC84"/>
    <w:rsid w:val="FDFB57B0"/>
    <w:rsid w:val="FDFF859E"/>
    <w:rsid w:val="FDFFA69E"/>
    <w:rsid w:val="FE3D9D17"/>
    <w:rsid w:val="FE7D8569"/>
    <w:rsid w:val="FE7F6289"/>
    <w:rsid w:val="FEB79774"/>
    <w:rsid w:val="FEBE349E"/>
    <w:rsid w:val="FEBF961C"/>
    <w:rsid w:val="FEEBBEC2"/>
    <w:rsid w:val="FEEF8B65"/>
    <w:rsid w:val="FEF812E5"/>
    <w:rsid w:val="FF766666"/>
    <w:rsid w:val="FF7746A2"/>
    <w:rsid w:val="FF7B42F2"/>
    <w:rsid w:val="FF7BE03B"/>
    <w:rsid w:val="FF7D5065"/>
    <w:rsid w:val="FF8B95F7"/>
    <w:rsid w:val="FFAF160D"/>
    <w:rsid w:val="FFAFE5E1"/>
    <w:rsid w:val="FFB91743"/>
    <w:rsid w:val="FFCF9AE3"/>
    <w:rsid w:val="FFCFC950"/>
    <w:rsid w:val="FFCFED92"/>
    <w:rsid w:val="FFD7BFFC"/>
    <w:rsid w:val="FFDF1522"/>
    <w:rsid w:val="FFE881C2"/>
    <w:rsid w:val="FFEEA39D"/>
    <w:rsid w:val="FFF77AD2"/>
    <w:rsid w:val="FFFBBE29"/>
    <w:rsid w:val="FFFC9028"/>
    <w:rsid w:val="FFFD61F3"/>
    <w:rsid w:val="FFFDD5B4"/>
    <w:rsid w:val="FFFEF02F"/>
    <w:rsid w:val="FFFFA6F0"/>
    <w:rsid w:val="FFFFD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2">
    <w:name w:val="列出段落1"/>
    <w:basedOn w:val="1"/>
    <w:qFormat/>
    <w:uiPriority w:val="34"/>
    <w:pPr>
      <w:ind w:firstLine="420" w:firstLineChars="200"/>
    </w:pPr>
    <w:rPr>
      <w:rFonts w:ascii="Calibri" w:hAnsi="Calibri" w:cs="黑体"/>
      <w:szCs w:val="22"/>
    </w:rPr>
  </w:style>
  <w:style w:type="paragraph" w:customStyle="1" w:styleId="13">
    <w:name w:val="List Paragraph"/>
    <w:basedOn w:val="1"/>
    <w:qFormat/>
    <w:uiPriority w:val="34"/>
    <w:pPr>
      <w:ind w:firstLine="420" w:firstLineChars="200"/>
    </w:pPr>
  </w:style>
  <w:style w:type="character" w:customStyle="1" w:styleId="14">
    <w:name w:val="NormalCharacter"/>
    <w:qFormat/>
    <w:uiPriority w:val="0"/>
  </w:style>
  <w:style w:type="character" w:customStyle="1" w:styleId="15">
    <w:name w:val="UserStyle_3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13930</Words>
  <Characters>14536</Characters>
  <Lines>22</Lines>
  <Paragraphs>6</Paragraphs>
  <TotalTime>25</TotalTime>
  <ScaleCrop>false</ScaleCrop>
  <LinksUpToDate>false</LinksUpToDate>
  <CharactersWithSpaces>14708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2022-04-22T10:51:00Z</dcterms:created>
  <dc:creator>user</dc:creator>
  <cp:lastModifiedBy>北京市妇女联合会</cp:lastModifiedBy>
  <dcterms:modified xsi:type="dcterms:W3CDTF">2022-08-23T07:38:26Z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1479A1B8295B43459602FC5908CAE769</vt:lpwstr>
  </property>
</Properties>
</file>