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eastAsia="方正小标宋简体"/>
          <w:sz w:val="44"/>
          <w:szCs w:val="44"/>
        </w:rPr>
      </w:pPr>
      <w:bookmarkStart w:id="19" w:name="_GoBack"/>
      <w:bookmarkEnd w:id="19"/>
      <w:r>
        <w:rPr>
          <w:rFonts w:hint="eastAsia" w:ascii="仿宋_GB2312" w:hAnsi="仿宋"/>
        </w:rPr>
        <w:t xml:space="preserve">                        </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北京市妇女联合会</w:t>
      </w:r>
      <w:r>
        <w:rPr>
          <w:rFonts w:ascii="方正小标宋简体" w:eastAsia="方正小标宋简体"/>
          <w:sz w:val="44"/>
          <w:szCs w:val="44"/>
        </w:rPr>
        <w:br w:type="textWrapping"/>
      </w:r>
      <w:r>
        <w:rPr>
          <w:rFonts w:hint="eastAsia" w:ascii="方正小标宋简体" w:eastAsia="方正小标宋简体"/>
          <w:sz w:val="44"/>
          <w:szCs w:val="44"/>
        </w:rPr>
        <w:t>2022年度部门整体绩效评价报告</w:t>
      </w:r>
    </w:p>
    <w:p>
      <w:pPr>
        <w:jc w:val="right"/>
        <w:rPr>
          <w:rFonts w:ascii="仿宋_GB2312" w:eastAsia="仿宋_GB2312" w:hAnsiTheme="minorEastAsia" w:cstheme="minorBidi"/>
          <w:sz w:val="32"/>
          <w:szCs w:val="32"/>
        </w:rPr>
      </w:pPr>
    </w:p>
    <w:p>
      <w:pPr>
        <w:ind w:firstLine="640" w:firstLineChars="200"/>
        <w:rPr>
          <w:rFonts w:ascii="黑体" w:hAnsi="黑体" w:eastAsia="黑体" w:cs="宋体"/>
          <w:color w:val="000000"/>
          <w:kern w:val="0"/>
          <w:sz w:val="32"/>
          <w:szCs w:val="32"/>
        </w:rPr>
      </w:pPr>
      <w:r>
        <w:rPr>
          <w:rFonts w:hint="eastAsia" w:ascii="仿宋_GB2312" w:hAnsi="楷体" w:eastAsia="仿宋_GB2312"/>
          <w:bCs/>
          <w:kern w:val="0"/>
          <w:sz w:val="32"/>
          <w:szCs w:val="28"/>
        </w:rPr>
        <w:t>为进一步加强预算绩效管理，强化支出责任，提高财政资金使用效益，考核财政支出效率和综合效果，根据</w:t>
      </w:r>
      <w:r>
        <w:rPr>
          <w:rFonts w:hint="eastAsia" w:ascii="仿宋_GB2312" w:hAnsi="仿宋_GB2312" w:eastAsia="仿宋_GB2312" w:cs="仿宋_GB2312"/>
          <w:sz w:val="32"/>
        </w:rPr>
        <w:t>《中共北京市委 北京市人民政府关于全面实施预算绩效管理的实施意见》（京发〔2019〕12号）、</w:t>
      </w:r>
      <w:r>
        <w:rPr>
          <w:rFonts w:hint="eastAsia" w:ascii="仿宋_GB2312" w:hAnsi="楷体" w:eastAsia="仿宋_GB2312"/>
          <w:bCs/>
          <w:kern w:val="0"/>
          <w:sz w:val="32"/>
          <w:szCs w:val="28"/>
        </w:rPr>
        <w:t>《北京市项目支出绩效评价管理办法》（京财绩效〔2020〕2146号），结合</w:t>
      </w:r>
      <w:r>
        <w:rPr>
          <w:rFonts w:hint="eastAsia" w:ascii="仿宋_GB2312" w:eastAsia="仿宋_GB2312"/>
          <w:sz w:val="32"/>
          <w:szCs w:val="28"/>
        </w:rPr>
        <w:t>《北京市财政局关于2023年推进全面实施预算绩效管理工作的预通知》</w:t>
      </w:r>
      <w:r>
        <w:rPr>
          <w:rFonts w:hint="eastAsia" w:ascii="仿宋_GB2312" w:hAnsi="楷体" w:eastAsia="仿宋_GB2312"/>
          <w:bCs/>
          <w:kern w:val="0"/>
          <w:sz w:val="32"/>
          <w:szCs w:val="28"/>
        </w:rPr>
        <w:t>的工作安排，北京市妇女联合会（以下简称“市妇联”）组织实施2022年度部门整体绩效评价工作，形成本绩效评价报告。</w:t>
      </w:r>
    </w:p>
    <w:p>
      <w:pPr>
        <w:spacing w:line="600" w:lineRule="exact"/>
        <w:ind w:firstLine="640" w:firstLineChars="200"/>
        <w:outlineLvl w:val="0"/>
        <w:rPr>
          <w:rFonts w:ascii="黑体" w:hAnsi="黑体" w:eastAsia="黑体" w:cs="宋体"/>
          <w:color w:val="000000"/>
          <w:kern w:val="0"/>
          <w:sz w:val="32"/>
          <w:szCs w:val="32"/>
        </w:rPr>
      </w:pPr>
      <w:bookmarkStart w:id="0" w:name="_Toc31473"/>
      <w:r>
        <w:rPr>
          <w:rFonts w:hint="eastAsia" w:ascii="黑体" w:hAnsi="黑体" w:eastAsia="黑体" w:cs="宋体"/>
          <w:color w:val="000000"/>
          <w:kern w:val="0"/>
          <w:sz w:val="32"/>
          <w:szCs w:val="32"/>
        </w:rPr>
        <w:t>一、部门概况</w:t>
      </w:r>
      <w:bookmarkEnd w:id="0"/>
    </w:p>
    <w:p>
      <w:pPr>
        <w:spacing w:line="600" w:lineRule="exact"/>
        <w:ind w:firstLine="640" w:firstLineChars="200"/>
        <w:outlineLvl w:val="1"/>
        <w:rPr>
          <w:rFonts w:ascii="楷体" w:hAnsi="楷体" w:eastAsia="楷体"/>
          <w:sz w:val="32"/>
          <w:szCs w:val="32"/>
        </w:rPr>
      </w:pPr>
      <w:bookmarkStart w:id="1" w:name="_Toc17608"/>
      <w:r>
        <w:rPr>
          <w:rFonts w:hint="eastAsia" w:ascii="楷体" w:hAnsi="楷体" w:eastAsia="楷体"/>
          <w:sz w:val="32"/>
          <w:szCs w:val="32"/>
        </w:rPr>
        <w:t>（一）机构设置及职责工作任务情况</w:t>
      </w:r>
      <w:bookmarkEnd w:id="1"/>
    </w:p>
    <w:p>
      <w:pPr>
        <w:ind w:firstLine="640" w:firstLineChars="200"/>
        <w:rPr>
          <w:rFonts w:ascii="仿宋_GB2312" w:hAnsi="楷体" w:eastAsia="仿宋_GB2312"/>
          <w:bCs/>
          <w:kern w:val="0"/>
          <w:sz w:val="32"/>
          <w:szCs w:val="28"/>
        </w:rPr>
      </w:pPr>
      <w:r>
        <w:rPr>
          <w:rFonts w:hint="eastAsia" w:ascii="仿宋_GB2312" w:hAnsi="楷体" w:eastAsia="仿宋_GB2312"/>
          <w:bCs/>
          <w:kern w:val="0"/>
          <w:sz w:val="32"/>
          <w:szCs w:val="28"/>
        </w:rPr>
        <w:t>1.机构设置</w:t>
      </w:r>
    </w:p>
    <w:p>
      <w:pPr>
        <w:ind w:firstLine="640" w:firstLineChars="200"/>
        <w:rPr>
          <w:rFonts w:ascii="仿宋_GB2312" w:hAnsi="楷体" w:eastAsia="仿宋_GB2312"/>
          <w:bCs/>
          <w:kern w:val="0"/>
          <w:sz w:val="32"/>
          <w:szCs w:val="28"/>
        </w:rPr>
      </w:pPr>
      <w:r>
        <w:rPr>
          <w:rFonts w:hint="eastAsia" w:ascii="仿宋_GB2312" w:hAnsi="楷体" w:eastAsia="仿宋_GB2312"/>
          <w:bCs/>
          <w:kern w:val="0"/>
          <w:sz w:val="32"/>
          <w:szCs w:val="28"/>
        </w:rPr>
        <w:t>北京市妇女联合会（以下简称“市妇联”）成立于1949年11月，是中共北京市委领导下的北京市各族各界妇女的群众团体组织，是党和政府联系妇女群众的桥梁和纽带。</w:t>
      </w:r>
    </w:p>
    <w:p>
      <w:pPr>
        <w:ind w:firstLine="640" w:firstLineChars="200"/>
        <w:rPr>
          <w:rFonts w:ascii="仿宋_GB2312" w:hAnsi="楷体" w:eastAsia="仿宋_GB2312"/>
          <w:bCs/>
          <w:kern w:val="0"/>
          <w:sz w:val="32"/>
          <w:szCs w:val="28"/>
        </w:rPr>
      </w:pPr>
      <w:r>
        <w:rPr>
          <w:rFonts w:hint="eastAsia" w:ascii="仿宋_GB2312" w:hAnsi="楷体" w:eastAsia="仿宋_GB2312"/>
          <w:bCs/>
          <w:kern w:val="0"/>
          <w:sz w:val="32"/>
          <w:szCs w:val="28"/>
        </w:rPr>
        <w:t>市妇联内设11个处室，分别为：办公室、组织部、宣传部、联络部、基层组织建设部、妇女发展部、权益部、家庭儿童部、社会工作部、机关党委（党建工作部）以及市妇儿工委办。根据《中共北京市委机构编制委员会关于北京市妇女联合会所属事业单位改革有关事项的批复》（京编委〔2021〕26号）规定，将北京市妇联信息中心与北京妇女研究中心整合，组建北京市妇女发展研究中心，将北京市三八服务中心与北京市妇女儿童社会服务中心整合，组建北京市妇女儿童服务中心，保留北京市妇女国际交流中心、北京市妇女干部学校。所属事业单位改革后，市妇联所属事业单位共4个，分别为北京市妇女儿童服务中心、北京市妇女国际交流中心、北京市妇女干部学校、北京市妇女发展研究中心。</w:t>
      </w:r>
    </w:p>
    <w:p>
      <w:pPr>
        <w:ind w:firstLine="640" w:firstLineChars="200"/>
        <w:rPr>
          <w:rFonts w:ascii="仿宋_GB2312" w:hAnsi="楷体" w:eastAsia="仿宋_GB2312"/>
          <w:bCs/>
          <w:kern w:val="0"/>
          <w:sz w:val="32"/>
          <w:szCs w:val="28"/>
        </w:rPr>
      </w:pPr>
      <w:r>
        <w:rPr>
          <w:rFonts w:hint="eastAsia" w:ascii="仿宋_GB2312" w:hAnsi="楷体" w:eastAsia="仿宋_GB2312"/>
          <w:bCs/>
          <w:kern w:val="0"/>
          <w:sz w:val="32"/>
          <w:szCs w:val="28"/>
        </w:rPr>
        <w:t>2.人员配置及人员构成情况</w:t>
      </w:r>
    </w:p>
    <w:p>
      <w:pPr>
        <w:ind w:firstLine="640" w:firstLineChars="200"/>
        <w:rPr>
          <w:rFonts w:ascii="仿宋_GB2312" w:hAnsi="楷体" w:eastAsia="仿宋_GB2312"/>
          <w:bCs/>
          <w:kern w:val="0"/>
          <w:sz w:val="32"/>
          <w:szCs w:val="28"/>
        </w:rPr>
      </w:pPr>
      <w:r>
        <w:rPr>
          <w:rFonts w:ascii="仿宋_GB2312" w:hAnsi="楷体" w:eastAsia="仿宋_GB2312"/>
          <w:bCs/>
          <w:kern w:val="0"/>
          <w:sz w:val="32"/>
          <w:szCs w:val="28"/>
        </w:rPr>
        <w:t>截至202</w:t>
      </w:r>
      <w:r>
        <w:rPr>
          <w:rFonts w:hint="eastAsia" w:ascii="仿宋_GB2312" w:hAnsi="楷体" w:eastAsia="仿宋_GB2312"/>
          <w:bCs/>
          <w:kern w:val="0"/>
          <w:sz w:val="32"/>
          <w:szCs w:val="28"/>
        </w:rPr>
        <w:t>2</w:t>
      </w:r>
      <w:r>
        <w:rPr>
          <w:rFonts w:ascii="仿宋_GB2312" w:hAnsi="楷体" w:eastAsia="仿宋_GB2312"/>
          <w:bCs/>
          <w:kern w:val="0"/>
          <w:sz w:val="32"/>
          <w:szCs w:val="28"/>
        </w:rPr>
        <w:t>年12月31日，</w:t>
      </w:r>
      <w:r>
        <w:rPr>
          <w:rFonts w:hint="eastAsia" w:ascii="仿宋_GB2312" w:hAnsi="楷体" w:eastAsia="仿宋_GB2312"/>
          <w:bCs/>
          <w:kern w:val="0"/>
          <w:sz w:val="32"/>
          <w:szCs w:val="28"/>
        </w:rPr>
        <w:t>市妇联</w:t>
      </w:r>
      <w:r>
        <w:rPr>
          <w:rFonts w:ascii="仿宋_GB2312" w:hAnsi="楷体" w:eastAsia="仿宋_GB2312"/>
          <w:bCs/>
          <w:kern w:val="0"/>
          <w:sz w:val="32"/>
          <w:szCs w:val="28"/>
        </w:rPr>
        <w:t>实有</w:t>
      </w:r>
      <w:r>
        <w:rPr>
          <w:rFonts w:hint="eastAsia" w:ascii="仿宋_GB2312" w:hAnsi="楷体" w:eastAsia="仿宋_GB2312"/>
          <w:bCs/>
          <w:kern w:val="0"/>
          <w:sz w:val="32"/>
          <w:szCs w:val="28"/>
        </w:rPr>
        <w:t>在职</w:t>
      </w:r>
      <w:r>
        <w:rPr>
          <w:rFonts w:ascii="仿宋_GB2312" w:hAnsi="楷体" w:eastAsia="仿宋_GB2312"/>
          <w:bCs/>
          <w:kern w:val="0"/>
          <w:sz w:val="32"/>
          <w:szCs w:val="28"/>
        </w:rPr>
        <w:t>人</w:t>
      </w:r>
      <w:r>
        <w:rPr>
          <w:rFonts w:hint="eastAsia" w:ascii="仿宋_GB2312" w:hAnsi="楷体" w:eastAsia="仿宋_GB2312"/>
          <w:bCs/>
          <w:kern w:val="0"/>
          <w:sz w:val="32"/>
          <w:szCs w:val="28"/>
        </w:rPr>
        <w:t>员132</w:t>
      </w:r>
      <w:r>
        <w:rPr>
          <w:rFonts w:ascii="仿宋_GB2312" w:hAnsi="楷体" w:eastAsia="仿宋_GB2312"/>
          <w:bCs/>
          <w:kern w:val="0"/>
          <w:sz w:val="32"/>
          <w:szCs w:val="28"/>
        </w:rPr>
        <w:t>人</w:t>
      </w:r>
      <w:r>
        <w:rPr>
          <w:rFonts w:hint="eastAsia" w:ascii="仿宋_GB2312" w:hAnsi="楷体" w:eastAsia="仿宋_GB2312"/>
          <w:bCs/>
          <w:kern w:val="0"/>
          <w:sz w:val="32"/>
          <w:szCs w:val="28"/>
        </w:rPr>
        <w:t>。其中</w:t>
      </w:r>
      <w:r>
        <w:rPr>
          <w:rFonts w:ascii="仿宋_GB2312" w:hAnsi="楷体" w:eastAsia="仿宋_GB2312"/>
          <w:bCs/>
          <w:kern w:val="0"/>
          <w:sz w:val="32"/>
          <w:szCs w:val="28"/>
        </w:rPr>
        <w:t>行政编制</w:t>
      </w:r>
      <w:r>
        <w:rPr>
          <w:rFonts w:hint="eastAsia" w:ascii="仿宋_GB2312" w:hAnsi="楷体" w:eastAsia="仿宋_GB2312"/>
          <w:bCs/>
          <w:kern w:val="0"/>
          <w:sz w:val="32"/>
          <w:szCs w:val="28"/>
        </w:rPr>
        <w:t>71</w:t>
      </w:r>
      <w:r>
        <w:rPr>
          <w:rFonts w:ascii="仿宋_GB2312" w:hAnsi="楷体" w:eastAsia="仿宋_GB2312"/>
          <w:bCs/>
          <w:kern w:val="0"/>
          <w:sz w:val="32"/>
          <w:szCs w:val="28"/>
        </w:rPr>
        <w:t>人，</w:t>
      </w:r>
      <w:r>
        <w:rPr>
          <w:rFonts w:hint="eastAsia" w:ascii="仿宋_GB2312" w:hAnsi="楷体" w:eastAsia="仿宋_GB2312"/>
          <w:bCs/>
          <w:kern w:val="0"/>
          <w:sz w:val="32"/>
          <w:szCs w:val="28"/>
        </w:rPr>
        <w:t>实际在职67人；</w:t>
      </w:r>
      <w:r>
        <w:rPr>
          <w:rFonts w:ascii="仿宋_GB2312" w:hAnsi="楷体" w:eastAsia="仿宋_GB2312"/>
          <w:bCs/>
          <w:kern w:val="0"/>
          <w:sz w:val="32"/>
          <w:szCs w:val="28"/>
        </w:rPr>
        <w:t>事业编制</w:t>
      </w:r>
      <w:r>
        <w:rPr>
          <w:rFonts w:hint="eastAsia" w:ascii="仿宋_GB2312" w:hAnsi="楷体" w:eastAsia="仿宋_GB2312"/>
          <w:bCs/>
          <w:kern w:val="0"/>
          <w:sz w:val="32"/>
          <w:szCs w:val="28"/>
        </w:rPr>
        <w:t>74</w:t>
      </w:r>
      <w:r>
        <w:rPr>
          <w:rFonts w:ascii="仿宋_GB2312" w:hAnsi="楷体" w:eastAsia="仿宋_GB2312"/>
          <w:bCs/>
          <w:kern w:val="0"/>
          <w:sz w:val="32"/>
          <w:szCs w:val="28"/>
        </w:rPr>
        <w:t>人</w:t>
      </w:r>
      <w:r>
        <w:rPr>
          <w:rFonts w:hint="eastAsia" w:ascii="仿宋_GB2312" w:hAnsi="楷体" w:eastAsia="仿宋_GB2312"/>
          <w:bCs/>
          <w:kern w:val="0"/>
          <w:sz w:val="32"/>
          <w:szCs w:val="28"/>
        </w:rPr>
        <w:t>，实际在职65人；聘用人员6人。离退休人员76人，其中</w:t>
      </w:r>
      <w:r>
        <w:rPr>
          <w:rFonts w:ascii="仿宋_GB2312" w:hAnsi="楷体" w:eastAsia="仿宋_GB2312"/>
          <w:bCs/>
          <w:kern w:val="0"/>
          <w:sz w:val="32"/>
          <w:szCs w:val="28"/>
        </w:rPr>
        <w:t>离休人员</w:t>
      </w:r>
      <w:r>
        <w:rPr>
          <w:rFonts w:hint="eastAsia" w:ascii="仿宋_GB2312" w:hAnsi="楷体" w:eastAsia="仿宋_GB2312"/>
          <w:bCs/>
          <w:kern w:val="0"/>
          <w:sz w:val="32"/>
          <w:szCs w:val="28"/>
        </w:rPr>
        <w:t>7</w:t>
      </w:r>
      <w:r>
        <w:rPr>
          <w:rFonts w:ascii="仿宋_GB2312" w:hAnsi="楷体" w:eastAsia="仿宋_GB2312"/>
          <w:bCs/>
          <w:kern w:val="0"/>
          <w:sz w:val="32"/>
          <w:szCs w:val="28"/>
        </w:rPr>
        <w:t>人，退休人员</w:t>
      </w:r>
      <w:r>
        <w:rPr>
          <w:rFonts w:hint="eastAsia" w:ascii="仿宋_GB2312" w:hAnsi="楷体" w:eastAsia="仿宋_GB2312"/>
          <w:bCs/>
          <w:kern w:val="0"/>
          <w:sz w:val="32"/>
          <w:szCs w:val="28"/>
        </w:rPr>
        <w:t>69</w:t>
      </w:r>
      <w:r>
        <w:rPr>
          <w:rFonts w:ascii="仿宋_GB2312" w:hAnsi="楷体" w:eastAsia="仿宋_GB2312"/>
          <w:bCs/>
          <w:kern w:val="0"/>
          <w:sz w:val="32"/>
          <w:szCs w:val="28"/>
        </w:rPr>
        <w:t>人。</w:t>
      </w:r>
    </w:p>
    <w:p>
      <w:pPr>
        <w:ind w:firstLine="640" w:firstLineChars="200"/>
        <w:rPr>
          <w:rFonts w:ascii="仿宋_GB2312" w:hAnsi="楷体" w:eastAsia="仿宋_GB2312"/>
          <w:bCs/>
          <w:kern w:val="0"/>
          <w:sz w:val="32"/>
          <w:szCs w:val="28"/>
        </w:rPr>
      </w:pPr>
      <w:r>
        <w:rPr>
          <w:rFonts w:hint="eastAsia" w:ascii="仿宋_GB2312" w:hAnsi="楷体" w:eastAsia="仿宋_GB2312"/>
          <w:bCs/>
          <w:kern w:val="0"/>
          <w:sz w:val="32"/>
          <w:szCs w:val="28"/>
        </w:rPr>
        <w:t>3.主要职能</w:t>
      </w:r>
    </w:p>
    <w:p>
      <w:pPr>
        <w:ind w:firstLine="640" w:firstLineChars="200"/>
        <w:rPr>
          <w:rFonts w:ascii="仿宋_GB2312" w:hAnsi="楷体" w:eastAsia="仿宋_GB2312"/>
          <w:bCs/>
          <w:kern w:val="0"/>
          <w:sz w:val="32"/>
          <w:szCs w:val="28"/>
        </w:rPr>
      </w:pPr>
      <w:r>
        <w:rPr>
          <w:rFonts w:hint="eastAsia" w:ascii="仿宋_GB2312" w:hAnsi="楷体" w:eastAsia="仿宋_GB2312"/>
          <w:bCs/>
          <w:kern w:val="0"/>
          <w:sz w:val="32"/>
          <w:szCs w:val="28"/>
        </w:rPr>
        <w:t>市妇联的基本职能是代表和维护妇女权益，促进男女平等。主要职责如下：</w:t>
      </w:r>
    </w:p>
    <w:p>
      <w:pPr>
        <w:ind w:firstLine="640" w:firstLineChars="200"/>
        <w:rPr>
          <w:rFonts w:ascii="仿宋_GB2312" w:hAnsi="楷体" w:eastAsia="仿宋_GB2312"/>
          <w:bCs/>
          <w:kern w:val="0"/>
          <w:sz w:val="32"/>
          <w:szCs w:val="28"/>
        </w:rPr>
      </w:pPr>
      <w:r>
        <w:rPr>
          <w:rFonts w:hint="eastAsia" w:ascii="仿宋_GB2312" w:hAnsi="楷体" w:eastAsia="仿宋_GB2312"/>
          <w:bCs/>
          <w:kern w:val="0"/>
          <w:sz w:val="32"/>
          <w:szCs w:val="28"/>
        </w:rPr>
        <w:t>（1）坚持正确的政治方向，团结教育首都各族各界妇女以及各类妇女组织贯彻执行国家有关方针、政策、法律、法规及本市的有关规定，同党中央在思想上、政治上、行动上保持高度一致。</w:t>
      </w:r>
    </w:p>
    <w:p>
      <w:pPr>
        <w:ind w:firstLine="640" w:firstLineChars="200"/>
        <w:rPr>
          <w:rFonts w:ascii="仿宋_GB2312" w:hAnsi="楷体" w:eastAsia="仿宋_GB2312"/>
          <w:bCs/>
          <w:kern w:val="0"/>
          <w:sz w:val="32"/>
          <w:szCs w:val="28"/>
        </w:rPr>
      </w:pPr>
      <w:r>
        <w:rPr>
          <w:rFonts w:hint="eastAsia" w:ascii="仿宋_GB2312" w:hAnsi="楷体" w:eastAsia="仿宋_GB2312"/>
          <w:bCs/>
          <w:kern w:val="0"/>
          <w:sz w:val="32"/>
          <w:szCs w:val="28"/>
        </w:rPr>
        <w:t>（2）紧密围绕市委和市政府的中心任务开展工作，团结、动员全市妇女群众投身改革开放和首都的两个文明建设，积极促进首都经济发展和社会进步。</w:t>
      </w:r>
    </w:p>
    <w:p>
      <w:pPr>
        <w:ind w:firstLine="640" w:firstLineChars="200"/>
        <w:rPr>
          <w:rFonts w:ascii="仿宋_GB2312" w:hAnsi="楷体" w:eastAsia="仿宋_GB2312"/>
          <w:bCs/>
          <w:kern w:val="0"/>
          <w:sz w:val="32"/>
          <w:szCs w:val="28"/>
        </w:rPr>
      </w:pPr>
      <w:r>
        <w:rPr>
          <w:rFonts w:hint="eastAsia" w:ascii="仿宋_GB2312" w:hAnsi="楷体" w:eastAsia="仿宋_GB2312"/>
          <w:bCs/>
          <w:kern w:val="0"/>
          <w:sz w:val="32"/>
          <w:szCs w:val="28"/>
        </w:rPr>
        <w:t>（3）宣传马克思主义妇女观和男女平等的思想、教育、引导妇女树立正确的世界观、人生观、价值观，弘扬“自尊、自信、自立、自强”精神，积极开展对妇女的教育培训，弘扬和践行社会主义核心价值观。</w:t>
      </w:r>
    </w:p>
    <w:p>
      <w:pPr>
        <w:ind w:firstLine="640" w:firstLineChars="200"/>
        <w:rPr>
          <w:rFonts w:ascii="仿宋_GB2312" w:hAnsi="楷体" w:eastAsia="仿宋_GB2312"/>
          <w:bCs/>
          <w:kern w:val="0"/>
          <w:sz w:val="32"/>
          <w:szCs w:val="28"/>
        </w:rPr>
      </w:pPr>
      <w:r>
        <w:rPr>
          <w:rFonts w:hint="eastAsia" w:ascii="仿宋_GB2312" w:hAnsi="楷体" w:eastAsia="仿宋_GB2312"/>
          <w:bCs/>
          <w:kern w:val="0"/>
          <w:sz w:val="32"/>
          <w:szCs w:val="28"/>
        </w:rPr>
        <w:t>（4）代表妇女参与国家和社会事务的民主管理和民主监督；关注并加强研究涉及妇女切身利益的热点、难点问题，及时向市委和市政府反映社情民意，提出对策建议；参与研究制定有关妇女儿童的法律、法规和政策。</w:t>
      </w:r>
    </w:p>
    <w:p>
      <w:pPr>
        <w:ind w:firstLine="640" w:firstLineChars="200"/>
        <w:rPr>
          <w:rFonts w:ascii="仿宋_GB2312" w:hAnsi="楷体" w:eastAsia="仿宋_GB2312"/>
          <w:bCs/>
          <w:kern w:val="0"/>
          <w:sz w:val="32"/>
          <w:szCs w:val="28"/>
        </w:rPr>
      </w:pPr>
      <w:r>
        <w:rPr>
          <w:rFonts w:hint="eastAsia" w:ascii="仿宋_GB2312" w:hAnsi="楷体" w:eastAsia="仿宋_GB2312"/>
          <w:bCs/>
          <w:kern w:val="0"/>
          <w:sz w:val="32"/>
          <w:szCs w:val="28"/>
        </w:rPr>
        <w:t>（5）坚持为妇女儿童服务、为基层服务，加强与社会各界的联系，协调推动全社会为妇女儿童办实事。</w:t>
      </w:r>
    </w:p>
    <w:p>
      <w:pPr>
        <w:ind w:firstLine="640" w:firstLineChars="200"/>
        <w:rPr>
          <w:rFonts w:ascii="仿宋_GB2312" w:hAnsi="楷体" w:eastAsia="仿宋_GB2312"/>
          <w:bCs/>
          <w:kern w:val="0"/>
          <w:sz w:val="32"/>
          <w:szCs w:val="28"/>
        </w:rPr>
      </w:pPr>
      <w:r>
        <w:rPr>
          <w:rFonts w:hint="eastAsia" w:ascii="仿宋_GB2312" w:hAnsi="楷体" w:eastAsia="仿宋_GB2312"/>
          <w:bCs/>
          <w:kern w:val="0"/>
          <w:sz w:val="32"/>
          <w:szCs w:val="28"/>
        </w:rPr>
        <w:t>（6）负责指导市妇联机关所属事业单位及女性团体的工作。</w:t>
      </w:r>
    </w:p>
    <w:p>
      <w:pPr>
        <w:ind w:firstLine="640" w:firstLineChars="200"/>
        <w:rPr>
          <w:rFonts w:ascii="仿宋_GB2312" w:hAnsi="楷体" w:eastAsia="仿宋_GB2312"/>
          <w:bCs/>
          <w:kern w:val="0"/>
          <w:sz w:val="32"/>
          <w:szCs w:val="28"/>
        </w:rPr>
      </w:pPr>
      <w:r>
        <w:rPr>
          <w:rFonts w:hint="eastAsia" w:ascii="仿宋_GB2312" w:hAnsi="楷体" w:eastAsia="仿宋_GB2312"/>
          <w:bCs/>
          <w:kern w:val="0"/>
          <w:sz w:val="32"/>
          <w:szCs w:val="28"/>
        </w:rPr>
        <w:t>（7）指导各区妇联依据《中华全国妇女联合会章程》和妇女代表大会的任务，开展妇女儿童工作；联系团体会员并给予工作指导。</w:t>
      </w:r>
    </w:p>
    <w:p>
      <w:pPr>
        <w:ind w:firstLine="640" w:firstLineChars="200"/>
        <w:rPr>
          <w:rFonts w:ascii="仿宋_GB2312" w:hAnsi="楷体" w:eastAsia="仿宋_GB2312"/>
          <w:bCs/>
          <w:kern w:val="0"/>
          <w:sz w:val="32"/>
          <w:szCs w:val="28"/>
        </w:rPr>
      </w:pPr>
      <w:r>
        <w:rPr>
          <w:rFonts w:hint="eastAsia" w:ascii="仿宋_GB2312" w:hAnsi="楷体" w:eastAsia="仿宋_GB2312"/>
          <w:bCs/>
          <w:kern w:val="0"/>
          <w:sz w:val="32"/>
          <w:szCs w:val="28"/>
        </w:rPr>
        <w:t>（8）加强同香港、澳门特别行政区，台湾及海外侨胞妇女的联谊；拓展同世界各国妇女和妇女组织的友好交往，增进了解和友谊，开展国际合作。</w:t>
      </w:r>
    </w:p>
    <w:p>
      <w:pPr>
        <w:ind w:firstLine="640" w:firstLineChars="200"/>
        <w:rPr>
          <w:rFonts w:ascii="仿宋_GB2312" w:hAnsi="楷体" w:eastAsia="仿宋_GB2312"/>
          <w:bCs/>
          <w:kern w:val="0"/>
          <w:sz w:val="32"/>
          <w:szCs w:val="28"/>
        </w:rPr>
      </w:pPr>
      <w:r>
        <w:rPr>
          <w:rFonts w:hint="eastAsia" w:ascii="仿宋_GB2312" w:hAnsi="楷体" w:eastAsia="仿宋_GB2312"/>
          <w:bCs/>
          <w:kern w:val="0"/>
          <w:sz w:val="32"/>
          <w:szCs w:val="28"/>
        </w:rPr>
        <w:t>（9）承担北京市妇女儿童工作委员会的日常工作。</w:t>
      </w:r>
    </w:p>
    <w:p>
      <w:pPr>
        <w:ind w:firstLine="640" w:firstLineChars="200"/>
        <w:rPr>
          <w:rFonts w:ascii="仿宋_GB2312" w:hAnsi="楷体" w:eastAsia="仿宋_GB2312"/>
          <w:bCs/>
          <w:kern w:val="0"/>
          <w:sz w:val="32"/>
          <w:szCs w:val="28"/>
        </w:rPr>
      </w:pPr>
      <w:r>
        <w:rPr>
          <w:rFonts w:hint="eastAsia" w:ascii="仿宋_GB2312" w:hAnsi="楷体" w:eastAsia="仿宋_GB2312"/>
          <w:bCs/>
          <w:kern w:val="0"/>
          <w:sz w:val="32"/>
          <w:szCs w:val="28"/>
        </w:rPr>
        <w:t>（10）研究提出全市妇女组织参与社会建设的规划、计划和政策、文件；统筹协调妇联系统“枢纽型”社会组织建设；负责妇女儿童类社会组织业务审查和日常联系、服务和管理工作；协调指导各区、各有关单位开展妇女社会组织组建工作。</w:t>
      </w:r>
    </w:p>
    <w:p>
      <w:pPr>
        <w:ind w:firstLine="640" w:firstLineChars="200"/>
        <w:rPr>
          <w:rFonts w:ascii="仿宋_GB2312" w:hAnsi="楷体" w:eastAsia="仿宋_GB2312"/>
          <w:bCs/>
          <w:kern w:val="0"/>
          <w:sz w:val="32"/>
          <w:szCs w:val="28"/>
        </w:rPr>
      </w:pPr>
      <w:r>
        <w:rPr>
          <w:rFonts w:hint="eastAsia" w:ascii="仿宋_GB2312" w:hAnsi="楷体" w:eastAsia="仿宋_GB2312"/>
          <w:bCs/>
          <w:kern w:val="0"/>
          <w:sz w:val="32"/>
          <w:szCs w:val="28"/>
        </w:rPr>
        <w:t>（11）组织指导推动和谐家庭创建活动和家庭文化建设等工作，指导各级妇联配合有关方面开展家庭教育活动；参与研究拟定有关儿童保护方面的法律法规和政策，协助推动儿童发展规划实施；组织指导各级妇联开展有益于儿童身心健康的活动，宣传儿童优先理念。</w:t>
      </w:r>
    </w:p>
    <w:p>
      <w:pPr>
        <w:ind w:firstLine="640" w:firstLineChars="200"/>
        <w:rPr>
          <w:rFonts w:ascii="仿宋_GB2312" w:hAnsi="楷体" w:eastAsia="仿宋_GB2312"/>
          <w:bCs/>
          <w:kern w:val="0"/>
          <w:sz w:val="32"/>
          <w:szCs w:val="28"/>
        </w:rPr>
      </w:pPr>
      <w:r>
        <w:rPr>
          <w:rFonts w:hint="eastAsia" w:ascii="仿宋_GB2312" w:hAnsi="楷体" w:eastAsia="仿宋_GB2312"/>
          <w:bCs/>
          <w:kern w:val="0"/>
          <w:sz w:val="32"/>
          <w:szCs w:val="28"/>
        </w:rPr>
        <w:t>（12）承办市委、市政府交办的其他事项。</w:t>
      </w:r>
    </w:p>
    <w:p>
      <w:pPr>
        <w:spacing w:line="600" w:lineRule="exact"/>
        <w:ind w:firstLine="640" w:firstLineChars="200"/>
        <w:outlineLvl w:val="1"/>
        <w:rPr>
          <w:rFonts w:ascii="楷体" w:hAnsi="楷体" w:eastAsia="楷体"/>
          <w:sz w:val="32"/>
          <w:szCs w:val="32"/>
        </w:rPr>
      </w:pPr>
      <w:bookmarkStart w:id="2" w:name="_Toc21409"/>
      <w:r>
        <w:rPr>
          <w:rFonts w:hint="eastAsia" w:ascii="楷体" w:hAnsi="楷体" w:eastAsia="楷体"/>
          <w:sz w:val="32"/>
          <w:szCs w:val="32"/>
        </w:rPr>
        <w:t>（二）部门整体绩效目标设立情况</w:t>
      </w:r>
      <w:bookmarkEnd w:id="2"/>
    </w:p>
    <w:p>
      <w:pPr>
        <w:ind w:firstLine="640" w:firstLineChars="200"/>
        <w:rPr>
          <w:rFonts w:ascii="仿宋_GB2312" w:hAnsi="楷体" w:eastAsia="仿宋_GB2312"/>
          <w:bCs/>
          <w:kern w:val="0"/>
          <w:sz w:val="32"/>
          <w:szCs w:val="28"/>
        </w:rPr>
      </w:pPr>
      <w:r>
        <w:rPr>
          <w:rFonts w:hint="eastAsia" w:ascii="仿宋_GB2312" w:hAnsi="楷体" w:eastAsia="仿宋_GB2312"/>
          <w:bCs/>
          <w:kern w:val="0"/>
          <w:sz w:val="32"/>
          <w:szCs w:val="28"/>
        </w:rPr>
        <w:t>市妇联按照党中央、国务院和市委、市政府关于妇女儿童事业发展的新部署新要求，以及“十三五”规划任务，认真实施社会事业与社会治理体制改革专项规划，深入实践“平等、融合、共享、阳光”理念，着力推动妇女儿童社会保障水平提升、服务体系建设转型升级和基础建设管理水平全面提高，促进广大妇女儿童共享首都经济社会发展成果，共创幸福美好新生活。</w:t>
      </w:r>
    </w:p>
    <w:p>
      <w:pPr>
        <w:ind w:firstLine="640" w:firstLineChars="200"/>
        <w:rPr>
          <w:rFonts w:ascii="仿宋_GB2312" w:hAnsi="楷体" w:eastAsia="仿宋_GB2312"/>
          <w:bCs/>
          <w:kern w:val="0"/>
          <w:sz w:val="32"/>
          <w:szCs w:val="28"/>
        </w:rPr>
      </w:pPr>
      <w:r>
        <w:rPr>
          <w:rFonts w:hint="eastAsia" w:ascii="仿宋_GB2312" w:hAnsi="楷体" w:eastAsia="仿宋_GB2312"/>
          <w:bCs/>
          <w:kern w:val="0"/>
          <w:sz w:val="32"/>
          <w:szCs w:val="28"/>
        </w:rPr>
        <w:t>2022年，市妇联部门整体绩效目标依据国家法律法规、北京市国民经济和社会发展总体规划，紧紧围绕单位职能职责设定，符合部门中长期实施规划。部门整体绩效目标符合客观实际，结合年度工作任务，既体现了单位履职范围内的常规工作任务，也结合特殊重要时点突出了年度新增特色重点工作内容。具体指标设置情况见下表：</w:t>
      </w:r>
    </w:p>
    <w:tbl>
      <w:tblPr>
        <w:tblStyle w:val="19"/>
        <w:tblW w:w="9831" w:type="dxa"/>
        <w:tblInd w:w="0" w:type="dxa"/>
        <w:tblLayout w:type="fixed"/>
        <w:tblCellMar>
          <w:top w:w="0" w:type="dxa"/>
          <w:left w:w="108" w:type="dxa"/>
          <w:bottom w:w="0" w:type="dxa"/>
          <w:right w:w="108" w:type="dxa"/>
        </w:tblCellMar>
      </w:tblPr>
      <w:tblGrid>
        <w:gridCol w:w="477"/>
        <w:gridCol w:w="1040"/>
        <w:gridCol w:w="1650"/>
        <w:gridCol w:w="1693"/>
        <w:gridCol w:w="1510"/>
        <w:gridCol w:w="1532"/>
        <w:gridCol w:w="535"/>
        <w:gridCol w:w="665"/>
        <w:gridCol w:w="729"/>
      </w:tblGrid>
      <w:tr>
        <w:tblPrEx>
          <w:tblLayout w:type="fixed"/>
          <w:tblCellMar>
            <w:top w:w="0" w:type="dxa"/>
            <w:left w:w="108" w:type="dxa"/>
            <w:bottom w:w="0" w:type="dxa"/>
            <w:right w:w="108" w:type="dxa"/>
          </w:tblCellMar>
        </w:tblPrEx>
        <w:trPr>
          <w:trHeight w:val="456" w:hRule="atLeast"/>
        </w:trPr>
        <w:tc>
          <w:tcPr>
            <w:tcW w:w="9831" w:type="dxa"/>
            <w:gridSpan w:val="9"/>
            <w:tcBorders>
              <w:top w:val="single" w:color="FFFFFF" w:sz="4" w:space="0"/>
              <w:left w:val="single" w:color="FFFFFF" w:sz="4" w:space="0"/>
              <w:bottom w:val="single" w:color="FFFFFF" w:sz="4" w:space="0"/>
              <w:right w:val="single" w:color="FFFFFF" w:sz="4" w:space="0"/>
            </w:tcBorders>
            <w:shd w:val="clear" w:color="auto" w:fill="auto"/>
            <w:vAlign w:val="center"/>
          </w:tcPr>
          <w:p>
            <w:pPr>
              <w:widowControl/>
              <w:jc w:val="center"/>
              <w:textAlignment w:val="center"/>
              <w:rPr>
                <w:rFonts w:ascii="宋体" w:hAnsi="宋体" w:cs="宋体"/>
                <w:b/>
                <w:bCs/>
                <w:color w:val="000000"/>
                <w:sz w:val="32"/>
                <w:szCs w:val="32"/>
              </w:rPr>
            </w:pPr>
            <w:r>
              <w:rPr>
                <w:rFonts w:hint="eastAsia" w:ascii="宋体" w:hAnsi="宋体" w:cs="宋体"/>
                <w:b/>
                <w:bCs/>
                <w:color w:val="000000"/>
                <w:kern w:val="0"/>
                <w:sz w:val="32"/>
                <w:szCs w:val="32"/>
              </w:rPr>
              <w:t>部门整体支出绩效目标申报表</w:t>
            </w:r>
          </w:p>
        </w:tc>
      </w:tr>
      <w:tr>
        <w:tblPrEx>
          <w:tblLayout w:type="fixed"/>
          <w:tblCellMar>
            <w:top w:w="0" w:type="dxa"/>
            <w:left w:w="108" w:type="dxa"/>
            <w:bottom w:w="0" w:type="dxa"/>
            <w:right w:w="108" w:type="dxa"/>
          </w:tblCellMar>
        </w:tblPrEx>
        <w:trPr>
          <w:trHeight w:val="456" w:hRule="atLeast"/>
        </w:trPr>
        <w:tc>
          <w:tcPr>
            <w:tcW w:w="9831" w:type="dxa"/>
            <w:gridSpan w:val="9"/>
            <w:tcBorders>
              <w:top w:val="single" w:color="FFFFFF" w:sz="4" w:space="0"/>
              <w:left w:val="single" w:color="FFFFFF" w:sz="4" w:space="0"/>
              <w:bottom w:val="single" w:color="auto" w:sz="4" w:space="0"/>
              <w:right w:val="single" w:color="FFFFFF"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（2022年度）</w:t>
            </w:r>
          </w:p>
        </w:tc>
      </w:tr>
      <w:tr>
        <w:tblPrEx>
          <w:tblLayout w:type="fixed"/>
          <w:tblCellMar>
            <w:top w:w="0" w:type="dxa"/>
            <w:left w:w="108" w:type="dxa"/>
            <w:bottom w:w="0" w:type="dxa"/>
            <w:right w:w="108" w:type="dxa"/>
          </w:tblCellMar>
        </w:tblPrEx>
        <w:trPr>
          <w:trHeight w:val="331" w:hRule="atLeast"/>
        </w:trPr>
        <w:tc>
          <w:tcPr>
            <w:tcW w:w="15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部门（单位）名称</w:t>
            </w:r>
          </w:p>
        </w:tc>
        <w:tc>
          <w:tcPr>
            <w:tcW w:w="831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北京市妇女联合会</w:t>
            </w:r>
          </w:p>
        </w:tc>
      </w:tr>
      <w:tr>
        <w:tblPrEx>
          <w:tblLayout w:type="fixed"/>
          <w:tblCellMar>
            <w:top w:w="0" w:type="dxa"/>
            <w:left w:w="108" w:type="dxa"/>
            <w:bottom w:w="0" w:type="dxa"/>
            <w:right w:w="108" w:type="dxa"/>
          </w:tblCellMar>
        </w:tblPrEx>
        <w:trPr>
          <w:trHeight w:val="331" w:hRule="atLeast"/>
        </w:trPr>
        <w:tc>
          <w:tcPr>
            <w:tcW w:w="151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kern w:val="0"/>
                <w:szCs w:val="21"/>
              </w:rPr>
            </w:pPr>
            <w:r>
              <w:rPr>
                <w:rFonts w:hint="eastAsia" w:ascii="宋体" w:hAnsi="宋体" w:cs="宋体"/>
                <w:b/>
                <w:bCs/>
                <w:color w:val="000000"/>
                <w:kern w:val="0"/>
                <w:szCs w:val="21"/>
              </w:rPr>
              <w:t>总体资金情况</w:t>
            </w:r>
          </w:p>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（万元）</w:t>
            </w:r>
          </w:p>
        </w:tc>
        <w:tc>
          <w:tcPr>
            <w:tcW w:w="16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预算支出总额</w:t>
            </w:r>
          </w:p>
        </w:tc>
        <w:tc>
          <w:tcPr>
            <w:tcW w:w="473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财政拨款</w:t>
            </w:r>
          </w:p>
        </w:tc>
        <w:tc>
          <w:tcPr>
            <w:tcW w:w="192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其他资金</w:t>
            </w:r>
          </w:p>
        </w:tc>
      </w:tr>
      <w:tr>
        <w:tblPrEx>
          <w:tblLayout w:type="fixed"/>
          <w:tblCellMar>
            <w:top w:w="0" w:type="dxa"/>
            <w:left w:w="108" w:type="dxa"/>
            <w:bottom w:w="0" w:type="dxa"/>
            <w:right w:w="108" w:type="dxa"/>
          </w:tblCellMar>
        </w:tblPrEx>
        <w:trPr>
          <w:trHeight w:val="331" w:hRule="atLeast"/>
        </w:trPr>
        <w:tc>
          <w:tcPr>
            <w:tcW w:w="151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szCs w:val="21"/>
              </w:rPr>
            </w:pPr>
          </w:p>
        </w:tc>
        <w:tc>
          <w:tcPr>
            <w:tcW w:w="16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szCs w:val="21"/>
              </w:rPr>
            </w:pPr>
          </w:p>
        </w:tc>
        <w:tc>
          <w:tcPr>
            <w:tcW w:w="1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合计</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基本支出</w:t>
            </w:r>
          </w:p>
        </w:tc>
        <w:tc>
          <w:tcPr>
            <w:tcW w:w="1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项目支出</w:t>
            </w:r>
          </w:p>
        </w:tc>
        <w:tc>
          <w:tcPr>
            <w:tcW w:w="5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合计</w:t>
            </w:r>
          </w:p>
        </w:tc>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基本支出</w:t>
            </w:r>
          </w:p>
        </w:tc>
        <w:tc>
          <w:tcPr>
            <w:tcW w:w="7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项目支出</w:t>
            </w:r>
          </w:p>
        </w:tc>
      </w:tr>
      <w:tr>
        <w:tblPrEx>
          <w:tblLayout w:type="fixed"/>
          <w:tblCellMar>
            <w:top w:w="0" w:type="dxa"/>
            <w:left w:w="108" w:type="dxa"/>
            <w:bottom w:w="0" w:type="dxa"/>
            <w:right w:w="108" w:type="dxa"/>
          </w:tblCellMar>
        </w:tblPrEx>
        <w:trPr>
          <w:trHeight w:val="331" w:hRule="atLeast"/>
        </w:trPr>
        <w:tc>
          <w:tcPr>
            <w:tcW w:w="151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szCs w:val="21"/>
              </w:rPr>
            </w:pP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rPr>
              <w:t>10,078.432833</w:t>
            </w:r>
          </w:p>
        </w:tc>
        <w:tc>
          <w:tcPr>
            <w:tcW w:w="1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rPr>
              <w:t>10,078.432833</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rPr>
              <w:t>5,788.225412</w:t>
            </w:r>
          </w:p>
        </w:tc>
        <w:tc>
          <w:tcPr>
            <w:tcW w:w="1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rPr>
              <w:t>4,290.207421</w:t>
            </w:r>
          </w:p>
        </w:tc>
        <w:tc>
          <w:tcPr>
            <w:tcW w:w="535"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color w:val="000000"/>
                <w:szCs w:val="21"/>
              </w:rPr>
            </w:pPr>
          </w:p>
        </w:tc>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color w:val="000000"/>
                <w:szCs w:val="21"/>
              </w:rPr>
            </w:pPr>
          </w:p>
        </w:tc>
        <w:tc>
          <w:tcPr>
            <w:tcW w:w="729"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color w:val="000000"/>
                <w:szCs w:val="21"/>
              </w:rPr>
            </w:pPr>
          </w:p>
        </w:tc>
      </w:tr>
      <w:tr>
        <w:tblPrEx>
          <w:tblLayout w:type="fixed"/>
          <w:tblCellMar>
            <w:top w:w="0" w:type="dxa"/>
            <w:left w:w="108" w:type="dxa"/>
            <w:bottom w:w="0" w:type="dxa"/>
            <w:right w:w="108" w:type="dxa"/>
          </w:tblCellMar>
        </w:tblPrEx>
        <w:trPr>
          <w:trHeight w:val="701" w:hRule="atLeast"/>
        </w:trPr>
        <w:tc>
          <w:tcPr>
            <w:tcW w:w="4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整体绩效目标</w:t>
            </w:r>
          </w:p>
        </w:tc>
        <w:tc>
          <w:tcPr>
            <w:tcW w:w="10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整体绩效目标</w:t>
            </w:r>
          </w:p>
        </w:tc>
        <w:tc>
          <w:tcPr>
            <w:tcW w:w="831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本着厉行节约、精打细算的原则安排年度支出预算，将单位履职工作需要与部门预算有机结合，加强财政资金支出绩效管理，强化各部门支出责任，建立科学、合理的财政资金绩效管理机制，提高单位预算管理水平，充分发挥财政资金使用效益。</w:t>
            </w:r>
          </w:p>
        </w:tc>
      </w:tr>
      <w:tr>
        <w:tblPrEx>
          <w:tblLayout w:type="fixed"/>
          <w:tblCellMar>
            <w:top w:w="0" w:type="dxa"/>
            <w:left w:w="108" w:type="dxa"/>
            <w:bottom w:w="0" w:type="dxa"/>
            <w:right w:w="108" w:type="dxa"/>
          </w:tblCellMar>
        </w:tblPrEx>
        <w:trPr>
          <w:trHeight w:val="294" w:hRule="atLeast"/>
        </w:trPr>
        <w:tc>
          <w:tcPr>
            <w:tcW w:w="4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szCs w:val="21"/>
              </w:rPr>
            </w:pPr>
          </w:p>
        </w:tc>
        <w:tc>
          <w:tcPr>
            <w:tcW w:w="10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kern w:val="0"/>
                <w:szCs w:val="21"/>
              </w:rPr>
            </w:pPr>
            <w:r>
              <w:rPr>
                <w:rFonts w:hint="eastAsia" w:ascii="宋体" w:hAnsi="宋体" w:cs="宋体"/>
                <w:b/>
                <w:bCs/>
                <w:color w:val="000000"/>
                <w:kern w:val="0"/>
                <w:szCs w:val="21"/>
              </w:rPr>
              <w:t>其他</w:t>
            </w:r>
          </w:p>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说明</w:t>
            </w:r>
          </w:p>
        </w:tc>
        <w:tc>
          <w:tcPr>
            <w:tcW w:w="831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Cs w:val="21"/>
              </w:rPr>
            </w:pPr>
          </w:p>
        </w:tc>
      </w:tr>
      <w:tr>
        <w:tblPrEx>
          <w:tblLayout w:type="fixed"/>
          <w:tblCellMar>
            <w:top w:w="0" w:type="dxa"/>
            <w:left w:w="108" w:type="dxa"/>
            <w:bottom w:w="0" w:type="dxa"/>
            <w:right w:w="108" w:type="dxa"/>
          </w:tblCellMar>
        </w:tblPrEx>
        <w:trPr>
          <w:trHeight w:val="331" w:hRule="atLeast"/>
        </w:trPr>
        <w:tc>
          <w:tcPr>
            <w:tcW w:w="4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szCs w:val="21"/>
              </w:rPr>
            </w:pPr>
          </w:p>
        </w:tc>
        <w:tc>
          <w:tcPr>
            <w:tcW w:w="26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活动</w:t>
            </w:r>
          </w:p>
        </w:tc>
        <w:tc>
          <w:tcPr>
            <w:tcW w:w="320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绩效指标</w:t>
            </w:r>
          </w:p>
        </w:tc>
        <w:tc>
          <w:tcPr>
            <w:tcW w:w="1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指标性质</w:t>
            </w:r>
          </w:p>
        </w:tc>
        <w:tc>
          <w:tcPr>
            <w:tcW w:w="12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指标值</w:t>
            </w:r>
          </w:p>
        </w:tc>
        <w:tc>
          <w:tcPr>
            <w:tcW w:w="7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度量单位</w:t>
            </w:r>
          </w:p>
        </w:tc>
      </w:tr>
      <w:tr>
        <w:tblPrEx>
          <w:tblLayout w:type="fixed"/>
          <w:tblCellMar>
            <w:top w:w="0" w:type="dxa"/>
            <w:left w:w="108" w:type="dxa"/>
            <w:bottom w:w="0" w:type="dxa"/>
            <w:right w:w="108" w:type="dxa"/>
          </w:tblCellMar>
        </w:tblPrEx>
        <w:trPr>
          <w:trHeight w:val="506" w:hRule="atLeast"/>
        </w:trPr>
        <w:tc>
          <w:tcPr>
            <w:tcW w:w="4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szCs w:val="21"/>
              </w:rPr>
            </w:pPr>
          </w:p>
        </w:tc>
        <w:tc>
          <w:tcPr>
            <w:tcW w:w="26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Style w:val="32"/>
                <w:rFonts w:hint="default"/>
                <w:sz w:val="21"/>
                <w:szCs w:val="21"/>
              </w:rPr>
              <w:t>妇女宣传思想政治引领</w:t>
            </w:r>
          </w:p>
        </w:tc>
        <w:tc>
          <w:tcPr>
            <w:tcW w:w="320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Style w:val="32"/>
                <w:rFonts w:hint="default"/>
                <w:sz w:val="21"/>
                <w:szCs w:val="21"/>
              </w:rPr>
              <w:t>效益指标社会效益指标宣传男女平等基本国策</w:t>
            </w:r>
          </w:p>
        </w:tc>
        <w:tc>
          <w:tcPr>
            <w:tcW w:w="1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Style w:val="32"/>
                <w:rFonts w:hint="default"/>
                <w:sz w:val="21"/>
                <w:szCs w:val="21"/>
              </w:rPr>
              <w:t>定性</w:t>
            </w:r>
          </w:p>
        </w:tc>
        <w:tc>
          <w:tcPr>
            <w:tcW w:w="12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Style w:val="32"/>
                <w:rFonts w:hint="default"/>
                <w:sz w:val="21"/>
                <w:szCs w:val="21"/>
              </w:rPr>
              <w:t>好坏</w:t>
            </w:r>
          </w:p>
        </w:tc>
        <w:tc>
          <w:tcPr>
            <w:tcW w:w="7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Style w:val="32"/>
                <w:rFonts w:hint="default"/>
                <w:sz w:val="21"/>
                <w:szCs w:val="21"/>
              </w:rPr>
              <w:t>项</w:t>
            </w:r>
          </w:p>
        </w:tc>
      </w:tr>
      <w:tr>
        <w:tblPrEx>
          <w:tblLayout w:type="fixed"/>
          <w:tblCellMar>
            <w:top w:w="0" w:type="dxa"/>
            <w:left w:w="108" w:type="dxa"/>
            <w:bottom w:w="0" w:type="dxa"/>
            <w:right w:w="108" w:type="dxa"/>
          </w:tblCellMar>
        </w:tblPrEx>
        <w:trPr>
          <w:trHeight w:val="506" w:hRule="atLeast"/>
        </w:trPr>
        <w:tc>
          <w:tcPr>
            <w:tcW w:w="4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szCs w:val="21"/>
              </w:rPr>
            </w:pPr>
          </w:p>
        </w:tc>
        <w:tc>
          <w:tcPr>
            <w:tcW w:w="26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Style w:val="32"/>
                <w:rFonts w:hint="default"/>
                <w:sz w:val="21"/>
                <w:szCs w:val="21"/>
              </w:rPr>
              <w:t>基层组织建设与服务</w:t>
            </w:r>
          </w:p>
        </w:tc>
        <w:tc>
          <w:tcPr>
            <w:tcW w:w="320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Style w:val="32"/>
                <w:rFonts w:hint="default"/>
                <w:sz w:val="21"/>
                <w:szCs w:val="21"/>
              </w:rPr>
              <w:t>效益指标社会效益指标基层组织建设力度增强</w:t>
            </w:r>
          </w:p>
        </w:tc>
        <w:tc>
          <w:tcPr>
            <w:tcW w:w="1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Style w:val="32"/>
                <w:rFonts w:hint="default"/>
                <w:sz w:val="21"/>
                <w:szCs w:val="21"/>
              </w:rPr>
              <w:t>定性</w:t>
            </w:r>
          </w:p>
        </w:tc>
        <w:tc>
          <w:tcPr>
            <w:tcW w:w="12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Style w:val="32"/>
                <w:rFonts w:hint="default"/>
                <w:sz w:val="21"/>
                <w:szCs w:val="21"/>
              </w:rPr>
              <w:t>好坏</w:t>
            </w:r>
          </w:p>
        </w:tc>
        <w:tc>
          <w:tcPr>
            <w:tcW w:w="7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Style w:val="32"/>
                <w:rFonts w:hint="default"/>
                <w:sz w:val="21"/>
                <w:szCs w:val="21"/>
              </w:rPr>
              <w:t>项</w:t>
            </w:r>
          </w:p>
        </w:tc>
      </w:tr>
      <w:tr>
        <w:tblPrEx>
          <w:tblLayout w:type="fixed"/>
          <w:tblCellMar>
            <w:top w:w="0" w:type="dxa"/>
            <w:left w:w="108" w:type="dxa"/>
            <w:bottom w:w="0" w:type="dxa"/>
            <w:right w:w="108" w:type="dxa"/>
          </w:tblCellMar>
        </w:tblPrEx>
        <w:trPr>
          <w:trHeight w:val="759" w:hRule="atLeast"/>
        </w:trPr>
        <w:tc>
          <w:tcPr>
            <w:tcW w:w="4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szCs w:val="21"/>
              </w:rPr>
            </w:pPr>
          </w:p>
        </w:tc>
        <w:tc>
          <w:tcPr>
            <w:tcW w:w="26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Style w:val="32"/>
                <w:rFonts w:hint="default"/>
                <w:sz w:val="21"/>
                <w:szCs w:val="21"/>
              </w:rPr>
              <w:t>妇女维权及市妇儿规划编制实施督导</w:t>
            </w:r>
          </w:p>
        </w:tc>
        <w:tc>
          <w:tcPr>
            <w:tcW w:w="320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Style w:val="32"/>
                <w:rFonts w:hint="default"/>
                <w:sz w:val="21"/>
                <w:szCs w:val="21"/>
              </w:rPr>
              <w:t>效益指标社会效益指标通过妇女、儿童规划的编制实施督导，推进妇女儿童在教育、健康、社会保障等领域得到全面发展</w:t>
            </w:r>
          </w:p>
        </w:tc>
        <w:tc>
          <w:tcPr>
            <w:tcW w:w="1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Style w:val="32"/>
                <w:rFonts w:hint="default"/>
                <w:sz w:val="21"/>
                <w:szCs w:val="21"/>
              </w:rPr>
              <w:t>定性</w:t>
            </w:r>
          </w:p>
        </w:tc>
        <w:tc>
          <w:tcPr>
            <w:tcW w:w="12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Style w:val="32"/>
                <w:rFonts w:hint="default"/>
                <w:sz w:val="21"/>
                <w:szCs w:val="21"/>
              </w:rPr>
              <w:t>好坏</w:t>
            </w:r>
          </w:p>
        </w:tc>
        <w:tc>
          <w:tcPr>
            <w:tcW w:w="7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Style w:val="32"/>
                <w:rFonts w:hint="default"/>
                <w:sz w:val="21"/>
                <w:szCs w:val="21"/>
              </w:rPr>
              <w:t>项</w:t>
            </w:r>
          </w:p>
        </w:tc>
      </w:tr>
      <w:tr>
        <w:tblPrEx>
          <w:tblLayout w:type="fixed"/>
          <w:tblCellMar>
            <w:top w:w="0" w:type="dxa"/>
            <w:left w:w="108" w:type="dxa"/>
            <w:bottom w:w="0" w:type="dxa"/>
            <w:right w:w="108" w:type="dxa"/>
          </w:tblCellMar>
        </w:tblPrEx>
        <w:trPr>
          <w:trHeight w:val="506" w:hRule="atLeast"/>
        </w:trPr>
        <w:tc>
          <w:tcPr>
            <w:tcW w:w="4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szCs w:val="21"/>
              </w:rPr>
            </w:pPr>
          </w:p>
        </w:tc>
        <w:tc>
          <w:tcPr>
            <w:tcW w:w="26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Style w:val="32"/>
                <w:rFonts w:hint="default"/>
                <w:sz w:val="21"/>
                <w:szCs w:val="21"/>
              </w:rPr>
              <w:t>妇女宣传思想政治引领</w:t>
            </w:r>
          </w:p>
        </w:tc>
        <w:tc>
          <w:tcPr>
            <w:tcW w:w="320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Style w:val="32"/>
                <w:rFonts w:hint="default"/>
                <w:sz w:val="21"/>
                <w:szCs w:val="21"/>
              </w:rPr>
              <w:t>效益指标社会效益指标优秀女性典型示范引领作用</w:t>
            </w:r>
          </w:p>
        </w:tc>
        <w:tc>
          <w:tcPr>
            <w:tcW w:w="1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Style w:val="32"/>
                <w:rFonts w:hint="default"/>
                <w:sz w:val="21"/>
                <w:szCs w:val="21"/>
              </w:rPr>
              <w:t>定性</w:t>
            </w:r>
          </w:p>
        </w:tc>
        <w:tc>
          <w:tcPr>
            <w:tcW w:w="12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Style w:val="32"/>
                <w:rFonts w:hint="default"/>
                <w:sz w:val="21"/>
                <w:szCs w:val="21"/>
              </w:rPr>
              <w:t>好坏</w:t>
            </w:r>
          </w:p>
        </w:tc>
        <w:tc>
          <w:tcPr>
            <w:tcW w:w="7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Style w:val="32"/>
                <w:rFonts w:hint="default"/>
                <w:sz w:val="21"/>
                <w:szCs w:val="21"/>
              </w:rPr>
              <w:t>项</w:t>
            </w:r>
          </w:p>
        </w:tc>
      </w:tr>
      <w:tr>
        <w:tblPrEx>
          <w:tblLayout w:type="fixed"/>
          <w:tblCellMar>
            <w:top w:w="0" w:type="dxa"/>
            <w:left w:w="108" w:type="dxa"/>
            <w:bottom w:w="0" w:type="dxa"/>
            <w:right w:w="108" w:type="dxa"/>
          </w:tblCellMar>
        </w:tblPrEx>
        <w:trPr>
          <w:trHeight w:val="506" w:hRule="atLeast"/>
        </w:trPr>
        <w:tc>
          <w:tcPr>
            <w:tcW w:w="4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szCs w:val="21"/>
              </w:rPr>
            </w:pPr>
          </w:p>
        </w:tc>
        <w:tc>
          <w:tcPr>
            <w:tcW w:w="26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Style w:val="32"/>
                <w:rFonts w:hint="default"/>
                <w:sz w:val="21"/>
                <w:szCs w:val="21"/>
              </w:rPr>
              <w:t>妇女儿童公益志愿服务</w:t>
            </w:r>
          </w:p>
        </w:tc>
        <w:tc>
          <w:tcPr>
            <w:tcW w:w="320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Style w:val="32"/>
                <w:rFonts w:hint="default"/>
                <w:sz w:val="21"/>
                <w:szCs w:val="21"/>
              </w:rPr>
              <w:t>效益指标社会效益指标巾帼志愿服务影响力增大</w:t>
            </w:r>
          </w:p>
        </w:tc>
        <w:tc>
          <w:tcPr>
            <w:tcW w:w="1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Style w:val="32"/>
                <w:rFonts w:hint="default"/>
                <w:sz w:val="21"/>
                <w:szCs w:val="21"/>
              </w:rPr>
              <w:t>定性</w:t>
            </w:r>
          </w:p>
        </w:tc>
        <w:tc>
          <w:tcPr>
            <w:tcW w:w="12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Style w:val="32"/>
                <w:rFonts w:hint="default"/>
                <w:sz w:val="21"/>
                <w:szCs w:val="21"/>
              </w:rPr>
              <w:t>高中低</w:t>
            </w:r>
          </w:p>
        </w:tc>
        <w:tc>
          <w:tcPr>
            <w:tcW w:w="7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Style w:val="32"/>
                <w:rFonts w:hint="default"/>
                <w:sz w:val="21"/>
                <w:szCs w:val="21"/>
              </w:rPr>
              <w:t>项</w:t>
            </w:r>
          </w:p>
        </w:tc>
      </w:tr>
      <w:tr>
        <w:tblPrEx>
          <w:tblLayout w:type="fixed"/>
          <w:tblCellMar>
            <w:top w:w="0" w:type="dxa"/>
            <w:left w:w="108" w:type="dxa"/>
            <w:bottom w:w="0" w:type="dxa"/>
            <w:right w:w="108" w:type="dxa"/>
          </w:tblCellMar>
        </w:tblPrEx>
        <w:trPr>
          <w:trHeight w:val="506" w:hRule="atLeast"/>
        </w:trPr>
        <w:tc>
          <w:tcPr>
            <w:tcW w:w="4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szCs w:val="21"/>
              </w:rPr>
            </w:pPr>
          </w:p>
        </w:tc>
        <w:tc>
          <w:tcPr>
            <w:tcW w:w="26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Style w:val="32"/>
                <w:rFonts w:hint="default"/>
                <w:sz w:val="21"/>
                <w:szCs w:val="21"/>
              </w:rPr>
              <w:t>城乡妇女岗位建功及创业就业</w:t>
            </w:r>
          </w:p>
        </w:tc>
        <w:tc>
          <w:tcPr>
            <w:tcW w:w="320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Style w:val="32"/>
                <w:rFonts w:hint="default"/>
                <w:sz w:val="21"/>
                <w:szCs w:val="21"/>
              </w:rPr>
              <w:t>效益指标社会效益指标对口援建、京津冀地区妇女创业就业能力</w:t>
            </w:r>
          </w:p>
        </w:tc>
        <w:tc>
          <w:tcPr>
            <w:tcW w:w="1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Style w:val="32"/>
                <w:rFonts w:hint="default"/>
                <w:sz w:val="21"/>
                <w:szCs w:val="21"/>
              </w:rPr>
              <w:t>定性</w:t>
            </w:r>
          </w:p>
        </w:tc>
        <w:tc>
          <w:tcPr>
            <w:tcW w:w="12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Style w:val="32"/>
                <w:rFonts w:hint="default"/>
                <w:sz w:val="21"/>
                <w:szCs w:val="21"/>
              </w:rPr>
              <w:t>高中低</w:t>
            </w:r>
          </w:p>
        </w:tc>
        <w:tc>
          <w:tcPr>
            <w:tcW w:w="7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Style w:val="32"/>
                <w:rFonts w:hint="default"/>
                <w:sz w:val="21"/>
                <w:szCs w:val="21"/>
              </w:rPr>
              <w:t>项</w:t>
            </w:r>
          </w:p>
        </w:tc>
      </w:tr>
      <w:tr>
        <w:tblPrEx>
          <w:tblLayout w:type="fixed"/>
          <w:tblCellMar>
            <w:top w:w="0" w:type="dxa"/>
            <w:left w:w="108" w:type="dxa"/>
            <w:bottom w:w="0" w:type="dxa"/>
            <w:right w:w="108" w:type="dxa"/>
          </w:tblCellMar>
        </w:tblPrEx>
        <w:trPr>
          <w:trHeight w:val="506" w:hRule="atLeast"/>
        </w:trPr>
        <w:tc>
          <w:tcPr>
            <w:tcW w:w="4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szCs w:val="21"/>
              </w:rPr>
            </w:pPr>
          </w:p>
        </w:tc>
        <w:tc>
          <w:tcPr>
            <w:tcW w:w="26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Style w:val="32"/>
                <w:rFonts w:hint="default"/>
                <w:sz w:val="21"/>
                <w:szCs w:val="21"/>
              </w:rPr>
              <w:t>城乡妇女岗位建功及创业就业</w:t>
            </w:r>
          </w:p>
        </w:tc>
        <w:tc>
          <w:tcPr>
            <w:tcW w:w="320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Style w:val="32"/>
                <w:rFonts w:hint="default"/>
                <w:sz w:val="21"/>
                <w:szCs w:val="21"/>
              </w:rPr>
              <w:t>效益指标社会效益指标北京市妇女创业就业领域</w:t>
            </w:r>
          </w:p>
        </w:tc>
        <w:tc>
          <w:tcPr>
            <w:tcW w:w="1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Style w:val="32"/>
                <w:rFonts w:hint="default"/>
                <w:sz w:val="21"/>
                <w:szCs w:val="21"/>
              </w:rPr>
              <w:t>定性</w:t>
            </w:r>
          </w:p>
        </w:tc>
        <w:tc>
          <w:tcPr>
            <w:tcW w:w="12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Style w:val="32"/>
                <w:rFonts w:hint="default"/>
                <w:sz w:val="21"/>
                <w:szCs w:val="21"/>
              </w:rPr>
              <w:t>高中低</w:t>
            </w:r>
          </w:p>
        </w:tc>
        <w:tc>
          <w:tcPr>
            <w:tcW w:w="7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Style w:val="32"/>
                <w:rFonts w:hint="default"/>
                <w:sz w:val="21"/>
                <w:szCs w:val="21"/>
              </w:rPr>
              <w:t>项</w:t>
            </w:r>
          </w:p>
        </w:tc>
      </w:tr>
      <w:tr>
        <w:tblPrEx>
          <w:tblLayout w:type="fixed"/>
          <w:tblCellMar>
            <w:top w:w="0" w:type="dxa"/>
            <w:left w:w="108" w:type="dxa"/>
            <w:bottom w:w="0" w:type="dxa"/>
            <w:right w:w="108" w:type="dxa"/>
          </w:tblCellMar>
        </w:tblPrEx>
        <w:trPr>
          <w:trHeight w:val="506" w:hRule="atLeast"/>
        </w:trPr>
        <w:tc>
          <w:tcPr>
            <w:tcW w:w="4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szCs w:val="21"/>
              </w:rPr>
            </w:pPr>
          </w:p>
        </w:tc>
        <w:tc>
          <w:tcPr>
            <w:tcW w:w="26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Style w:val="32"/>
                <w:rFonts w:hint="default"/>
                <w:sz w:val="21"/>
                <w:szCs w:val="21"/>
              </w:rPr>
              <w:t>家庭文明建设</w:t>
            </w:r>
          </w:p>
        </w:tc>
        <w:tc>
          <w:tcPr>
            <w:tcW w:w="320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Style w:val="32"/>
                <w:rFonts w:hint="default"/>
                <w:sz w:val="21"/>
                <w:szCs w:val="21"/>
              </w:rPr>
              <w:t>效益指标社会效益指标推进家庭支持服务方面</w:t>
            </w:r>
          </w:p>
        </w:tc>
        <w:tc>
          <w:tcPr>
            <w:tcW w:w="1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Style w:val="32"/>
                <w:rFonts w:hint="default"/>
                <w:sz w:val="21"/>
                <w:szCs w:val="21"/>
              </w:rPr>
              <w:t>定性</w:t>
            </w:r>
          </w:p>
        </w:tc>
        <w:tc>
          <w:tcPr>
            <w:tcW w:w="12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Style w:val="32"/>
                <w:rFonts w:hint="default"/>
                <w:sz w:val="21"/>
                <w:szCs w:val="21"/>
              </w:rPr>
              <w:t>高中低</w:t>
            </w:r>
          </w:p>
        </w:tc>
        <w:tc>
          <w:tcPr>
            <w:tcW w:w="7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Style w:val="32"/>
                <w:rFonts w:hint="default"/>
                <w:sz w:val="21"/>
                <w:szCs w:val="21"/>
              </w:rPr>
              <w:t>项</w:t>
            </w:r>
          </w:p>
        </w:tc>
      </w:tr>
      <w:tr>
        <w:tblPrEx>
          <w:tblLayout w:type="fixed"/>
          <w:tblCellMar>
            <w:top w:w="0" w:type="dxa"/>
            <w:left w:w="108" w:type="dxa"/>
            <w:bottom w:w="0" w:type="dxa"/>
            <w:right w:w="108" w:type="dxa"/>
          </w:tblCellMar>
        </w:tblPrEx>
        <w:trPr>
          <w:trHeight w:val="506" w:hRule="atLeast"/>
        </w:trPr>
        <w:tc>
          <w:tcPr>
            <w:tcW w:w="4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szCs w:val="21"/>
              </w:rPr>
            </w:pPr>
          </w:p>
        </w:tc>
        <w:tc>
          <w:tcPr>
            <w:tcW w:w="26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Style w:val="32"/>
                <w:rFonts w:hint="default"/>
                <w:sz w:val="21"/>
                <w:szCs w:val="21"/>
              </w:rPr>
              <w:t>家庭文明建设</w:t>
            </w:r>
          </w:p>
        </w:tc>
        <w:tc>
          <w:tcPr>
            <w:tcW w:w="320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Style w:val="32"/>
                <w:rFonts w:hint="default"/>
                <w:sz w:val="21"/>
                <w:szCs w:val="21"/>
              </w:rPr>
              <w:t>效益指标社会效益指标家庭文明建设引领带动方面</w:t>
            </w:r>
          </w:p>
        </w:tc>
        <w:tc>
          <w:tcPr>
            <w:tcW w:w="1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Style w:val="32"/>
                <w:rFonts w:hint="default"/>
                <w:sz w:val="21"/>
                <w:szCs w:val="21"/>
              </w:rPr>
              <w:t>定性</w:t>
            </w:r>
          </w:p>
        </w:tc>
        <w:tc>
          <w:tcPr>
            <w:tcW w:w="12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Style w:val="32"/>
                <w:rFonts w:hint="default"/>
                <w:sz w:val="21"/>
                <w:szCs w:val="21"/>
              </w:rPr>
              <w:t>高中低</w:t>
            </w:r>
          </w:p>
        </w:tc>
        <w:tc>
          <w:tcPr>
            <w:tcW w:w="7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Style w:val="32"/>
                <w:rFonts w:hint="default"/>
                <w:sz w:val="21"/>
                <w:szCs w:val="21"/>
              </w:rPr>
              <w:t>项</w:t>
            </w:r>
          </w:p>
        </w:tc>
      </w:tr>
      <w:tr>
        <w:tblPrEx>
          <w:tblLayout w:type="fixed"/>
          <w:tblCellMar>
            <w:top w:w="0" w:type="dxa"/>
            <w:left w:w="108" w:type="dxa"/>
            <w:bottom w:w="0" w:type="dxa"/>
            <w:right w:w="108" w:type="dxa"/>
          </w:tblCellMar>
        </w:tblPrEx>
        <w:trPr>
          <w:trHeight w:val="506" w:hRule="atLeast"/>
        </w:trPr>
        <w:tc>
          <w:tcPr>
            <w:tcW w:w="4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szCs w:val="21"/>
              </w:rPr>
            </w:pPr>
          </w:p>
        </w:tc>
        <w:tc>
          <w:tcPr>
            <w:tcW w:w="26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Style w:val="32"/>
                <w:rFonts w:hint="default"/>
                <w:sz w:val="21"/>
                <w:szCs w:val="21"/>
              </w:rPr>
              <w:t>家庭文明建设</w:t>
            </w:r>
          </w:p>
        </w:tc>
        <w:tc>
          <w:tcPr>
            <w:tcW w:w="320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Style w:val="32"/>
                <w:rFonts w:hint="default"/>
                <w:sz w:val="21"/>
                <w:szCs w:val="21"/>
              </w:rPr>
              <w:t>效益指标社会效益指标家庭教育指导服务方面</w:t>
            </w:r>
          </w:p>
        </w:tc>
        <w:tc>
          <w:tcPr>
            <w:tcW w:w="1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Style w:val="32"/>
                <w:rFonts w:hint="default"/>
                <w:sz w:val="21"/>
                <w:szCs w:val="21"/>
              </w:rPr>
              <w:t>定性</w:t>
            </w:r>
          </w:p>
        </w:tc>
        <w:tc>
          <w:tcPr>
            <w:tcW w:w="12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Style w:val="32"/>
                <w:rFonts w:hint="default"/>
                <w:sz w:val="21"/>
                <w:szCs w:val="21"/>
              </w:rPr>
              <w:t>高中低</w:t>
            </w:r>
          </w:p>
        </w:tc>
        <w:tc>
          <w:tcPr>
            <w:tcW w:w="7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Cs w:val="21"/>
              </w:rPr>
            </w:pPr>
            <w:r>
              <w:rPr>
                <w:rStyle w:val="32"/>
                <w:rFonts w:hint="default"/>
                <w:sz w:val="21"/>
                <w:szCs w:val="21"/>
              </w:rPr>
              <w:t>项</w:t>
            </w:r>
          </w:p>
        </w:tc>
      </w:tr>
    </w:tbl>
    <w:p>
      <w:pPr>
        <w:pStyle w:val="2"/>
      </w:pPr>
    </w:p>
    <w:p>
      <w:pPr>
        <w:spacing w:line="600" w:lineRule="exact"/>
        <w:ind w:firstLine="640" w:firstLineChars="200"/>
        <w:outlineLvl w:val="0"/>
        <w:rPr>
          <w:rFonts w:ascii="黑体" w:hAnsi="黑体" w:eastAsia="黑体" w:cs="宋体"/>
          <w:color w:val="000000"/>
          <w:kern w:val="0"/>
          <w:sz w:val="32"/>
          <w:szCs w:val="32"/>
        </w:rPr>
      </w:pPr>
      <w:bookmarkStart w:id="3" w:name="_Toc15661"/>
      <w:r>
        <w:rPr>
          <w:rFonts w:hint="eastAsia" w:ascii="黑体" w:hAnsi="黑体" w:eastAsia="黑体" w:cs="宋体"/>
          <w:color w:val="000000"/>
          <w:kern w:val="0"/>
          <w:sz w:val="32"/>
          <w:szCs w:val="32"/>
        </w:rPr>
        <w:t>二</w:t>
      </w:r>
      <w:r>
        <w:rPr>
          <w:rFonts w:ascii="黑体" w:hAnsi="黑体" w:eastAsia="黑体" w:cs="宋体"/>
          <w:color w:val="000000"/>
          <w:kern w:val="0"/>
          <w:sz w:val="32"/>
          <w:szCs w:val="32"/>
        </w:rPr>
        <w:t>、</w:t>
      </w:r>
      <w:r>
        <w:rPr>
          <w:rFonts w:hint="eastAsia" w:ascii="黑体" w:hAnsi="黑体" w:eastAsia="黑体" w:cs="宋体"/>
          <w:color w:val="000000"/>
          <w:kern w:val="0"/>
          <w:sz w:val="32"/>
          <w:szCs w:val="32"/>
        </w:rPr>
        <w:t>当年</w:t>
      </w:r>
      <w:r>
        <w:rPr>
          <w:rFonts w:ascii="黑体" w:hAnsi="黑体" w:eastAsia="黑体" w:cs="宋体"/>
          <w:color w:val="000000"/>
          <w:kern w:val="0"/>
          <w:sz w:val="32"/>
          <w:szCs w:val="32"/>
        </w:rPr>
        <w:t>预算执行情况</w:t>
      </w:r>
      <w:bookmarkEnd w:id="3"/>
    </w:p>
    <w:p>
      <w:pPr>
        <w:ind w:firstLine="640" w:firstLineChars="200"/>
        <w:rPr>
          <w:rFonts w:ascii="仿宋_GB2312" w:hAnsi="楷体" w:eastAsia="仿宋_GB2312"/>
          <w:bCs/>
          <w:kern w:val="0"/>
          <w:sz w:val="32"/>
          <w:szCs w:val="28"/>
        </w:rPr>
      </w:pPr>
      <w:r>
        <w:rPr>
          <w:rFonts w:hint="eastAsia" w:ascii="仿宋_GB2312" w:hAnsi="楷体" w:eastAsia="仿宋_GB2312"/>
          <w:bCs/>
          <w:kern w:val="0"/>
          <w:sz w:val="32"/>
          <w:szCs w:val="28"/>
        </w:rPr>
        <w:t>2022年，市财政批复部门预算10,186.58万元，其中，基本支出预算6,317.70万元，项目支出预算3,868.88万元。</w:t>
      </w:r>
      <w:r>
        <w:rPr>
          <w:rFonts w:hint="eastAsia" w:ascii="仿宋_GB2312" w:hAnsi="仿宋_GB2312" w:eastAsia="仿宋_GB2312" w:cs="仿宋_GB2312"/>
          <w:kern w:val="0"/>
          <w:sz w:val="32"/>
          <w:szCs w:val="32"/>
        </w:rPr>
        <w:t>实际预算支出</w:t>
      </w:r>
      <w:r>
        <w:rPr>
          <w:rFonts w:hint="eastAsia" w:ascii="仿宋_GB2312" w:hAnsi="楷体" w:eastAsia="仿宋_GB2312"/>
          <w:bCs/>
          <w:kern w:val="0"/>
          <w:sz w:val="32"/>
          <w:szCs w:val="28"/>
        </w:rPr>
        <w:t>9,600.64万元，其中，基本支出5,918.75万元，项目支出3,681.89万元。预算执行率94.25%。</w:t>
      </w:r>
    </w:p>
    <w:p>
      <w:pPr>
        <w:spacing w:line="600" w:lineRule="exact"/>
        <w:ind w:firstLine="640" w:firstLineChars="200"/>
        <w:outlineLvl w:val="0"/>
        <w:rPr>
          <w:rFonts w:ascii="黑体" w:hAnsi="黑体" w:eastAsia="黑体" w:cs="宋体"/>
          <w:color w:val="000000"/>
          <w:kern w:val="0"/>
          <w:sz w:val="32"/>
          <w:szCs w:val="32"/>
        </w:rPr>
      </w:pPr>
      <w:bookmarkStart w:id="4" w:name="_Toc27822"/>
      <w:r>
        <w:rPr>
          <w:rFonts w:hint="eastAsia" w:ascii="黑体" w:hAnsi="黑体" w:eastAsia="黑体" w:cs="宋体"/>
          <w:color w:val="000000"/>
          <w:kern w:val="0"/>
          <w:sz w:val="32"/>
          <w:szCs w:val="32"/>
        </w:rPr>
        <w:t>三</w:t>
      </w:r>
      <w:r>
        <w:rPr>
          <w:rFonts w:ascii="黑体" w:hAnsi="黑体" w:eastAsia="黑体" w:cs="宋体"/>
          <w:color w:val="000000"/>
          <w:kern w:val="0"/>
          <w:sz w:val="32"/>
          <w:szCs w:val="32"/>
        </w:rPr>
        <w:t>、整体绩效目标实现情况</w:t>
      </w:r>
      <w:bookmarkEnd w:id="4"/>
    </w:p>
    <w:p>
      <w:pPr>
        <w:spacing w:line="600" w:lineRule="exact"/>
        <w:ind w:firstLine="640" w:firstLineChars="200"/>
        <w:outlineLvl w:val="1"/>
        <w:rPr>
          <w:rFonts w:ascii="楷体" w:hAnsi="楷体" w:eastAsia="楷体"/>
          <w:sz w:val="32"/>
          <w:szCs w:val="32"/>
        </w:rPr>
      </w:pPr>
      <w:bookmarkStart w:id="5" w:name="_Toc20074"/>
      <w:r>
        <w:rPr>
          <w:rFonts w:hint="eastAsia" w:ascii="楷体" w:hAnsi="楷体" w:eastAsia="楷体"/>
          <w:sz w:val="32"/>
          <w:szCs w:val="32"/>
        </w:rPr>
        <w:t>（一）产出完成情况分析</w:t>
      </w:r>
      <w:bookmarkEnd w:id="5"/>
    </w:p>
    <w:p>
      <w:pPr>
        <w:ind w:firstLine="640" w:firstLineChars="200"/>
        <w:rPr>
          <w:rFonts w:ascii="仿宋_GB2312" w:hAnsi="楷体" w:eastAsia="仿宋_GB2312"/>
          <w:bCs/>
          <w:kern w:val="0"/>
          <w:sz w:val="32"/>
          <w:szCs w:val="28"/>
        </w:rPr>
      </w:pPr>
      <w:r>
        <w:rPr>
          <w:rFonts w:hint="eastAsia" w:ascii="仿宋_GB2312" w:hAnsi="楷体" w:eastAsia="仿宋_GB2312"/>
          <w:bCs/>
          <w:kern w:val="0"/>
          <w:sz w:val="32"/>
          <w:szCs w:val="28"/>
        </w:rPr>
        <w:t>2022年，市妇联贯彻落实党的二十大对妇女儿童事业、家庭家教家风建设以及深化妇联改革和建设等作出的新部署，全面完成落实市委书记尹力同志“市妇联要继续创新发展首都妇女工作，确保始终走在全国前列”的要求。市妇联工作受到全国妇联高度重视，沈跃跃、黄晓薇等同志多次作出指示批示，鼓励评价市妇联工作“创造了很多鲜活经验，各方面工作走在全国前列，很多好经验都值得全国妇联推广”。市妇联先后9次就思想政治引领、科技创新、家庭儿童等工作在全国介绍“北京经验”。年度整体绩效目标实现预期。</w:t>
      </w:r>
    </w:p>
    <w:p>
      <w:pPr>
        <w:ind w:firstLine="643" w:firstLineChars="200"/>
        <w:rPr>
          <w:rFonts w:ascii="仿宋_GB2312" w:hAnsi="楷体" w:eastAsia="仿宋_GB2312"/>
          <w:b/>
          <w:kern w:val="0"/>
          <w:sz w:val="32"/>
          <w:szCs w:val="28"/>
        </w:rPr>
      </w:pPr>
      <w:r>
        <w:rPr>
          <w:rFonts w:hint="eastAsia" w:ascii="仿宋_GB2312" w:hAnsi="楷体" w:eastAsia="仿宋_GB2312"/>
          <w:b/>
          <w:kern w:val="0"/>
          <w:sz w:val="32"/>
          <w:szCs w:val="28"/>
        </w:rPr>
        <w:t>1.产出数量</w:t>
      </w:r>
    </w:p>
    <w:p>
      <w:pPr>
        <w:ind w:firstLine="640" w:firstLineChars="200"/>
        <w:rPr>
          <w:rFonts w:ascii="仿宋_GB2312" w:hAnsi="楷体" w:eastAsia="仿宋_GB2312"/>
          <w:bCs/>
          <w:kern w:val="0"/>
          <w:sz w:val="32"/>
          <w:szCs w:val="28"/>
        </w:rPr>
      </w:pPr>
      <w:r>
        <w:rPr>
          <w:rFonts w:hint="eastAsia" w:ascii="仿宋_GB2312" w:hAnsi="楷体" w:eastAsia="仿宋_GB2312"/>
          <w:bCs/>
          <w:kern w:val="0"/>
          <w:sz w:val="32"/>
          <w:szCs w:val="28"/>
        </w:rPr>
        <w:t>（1）广泛开展“巾帼心向党·喜迎（庆）二十大”群众性宣传教育活动，聚焦“强国复兴有我”主题，联动16区线上线下开展“巾帼大学习·今天我来读”云接力、“我奋斗·家国美”故事汇等活动，覆盖280万人次。</w:t>
      </w:r>
    </w:p>
    <w:p>
      <w:pPr>
        <w:ind w:firstLine="640" w:firstLineChars="200"/>
        <w:rPr>
          <w:rFonts w:ascii="仿宋_GB2312" w:hAnsi="楷体" w:eastAsia="仿宋_GB2312"/>
          <w:bCs/>
          <w:kern w:val="0"/>
          <w:sz w:val="32"/>
          <w:szCs w:val="28"/>
        </w:rPr>
      </w:pPr>
      <w:r>
        <w:rPr>
          <w:rFonts w:hint="eastAsia" w:ascii="仿宋_GB2312" w:hAnsi="楷体" w:eastAsia="仿宋_GB2312"/>
          <w:bCs/>
          <w:kern w:val="0"/>
          <w:sz w:val="32"/>
          <w:szCs w:val="28"/>
        </w:rPr>
        <w:t>（2）培树首都最美巾帼品牌，加强先进妇女典型学习宣传，以榜样力量激励妇女团结奋斗。“北京女性”新媒体矩阵开设“喜迎（庆）二十大”专栏，推送文章1600篇，全网浏览量达2亿次。</w:t>
      </w:r>
    </w:p>
    <w:p>
      <w:pPr>
        <w:ind w:firstLine="640" w:firstLineChars="200"/>
        <w:rPr>
          <w:rFonts w:ascii="仿宋_GB2312" w:hAnsi="楷体" w:eastAsia="仿宋_GB2312"/>
          <w:bCs/>
          <w:kern w:val="0"/>
          <w:sz w:val="32"/>
          <w:szCs w:val="28"/>
        </w:rPr>
      </w:pPr>
      <w:r>
        <w:rPr>
          <w:rFonts w:hint="eastAsia" w:ascii="仿宋_GB2312" w:hAnsi="楷体" w:eastAsia="仿宋_GB2312"/>
          <w:bCs/>
          <w:kern w:val="0"/>
          <w:sz w:val="32"/>
          <w:szCs w:val="28"/>
        </w:rPr>
        <w:t>（3）助推北京惠企纾困政策落地落实，帮助千余名城乡妇女实现就业，为女大学生提供岗位3.9万个。</w:t>
      </w:r>
    </w:p>
    <w:p>
      <w:pPr>
        <w:ind w:firstLine="640" w:firstLineChars="200"/>
        <w:rPr>
          <w:rFonts w:ascii="仿宋_GB2312" w:hAnsi="楷体" w:eastAsia="仿宋_GB2312"/>
          <w:bCs/>
          <w:kern w:val="0"/>
          <w:sz w:val="32"/>
          <w:szCs w:val="28"/>
        </w:rPr>
      </w:pPr>
      <w:r>
        <w:rPr>
          <w:rFonts w:hint="eastAsia" w:ascii="仿宋_GB2312" w:hAnsi="楷体" w:eastAsia="仿宋_GB2312"/>
          <w:bCs/>
          <w:kern w:val="0"/>
          <w:sz w:val="32"/>
          <w:szCs w:val="28"/>
        </w:rPr>
        <w:t>（4）争取财政资金1,700.00万元，扶持98个农村妇女创新创业项目。</w:t>
      </w:r>
    </w:p>
    <w:p>
      <w:pPr>
        <w:ind w:firstLine="640" w:firstLineChars="200"/>
        <w:rPr>
          <w:rFonts w:ascii="仿宋_GB2312" w:hAnsi="楷体" w:eastAsia="仿宋_GB2312"/>
          <w:bCs/>
          <w:kern w:val="0"/>
          <w:sz w:val="32"/>
          <w:szCs w:val="28"/>
        </w:rPr>
      </w:pPr>
      <w:r>
        <w:rPr>
          <w:rFonts w:hint="eastAsia" w:ascii="仿宋_GB2312" w:hAnsi="楷体" w:eastAsia="仿宋_GB2312"/>
          <w:bCs/>
          <w:kern w:val="0"/>
          <w:sz w:val="32"/>
          <w:szCs w:val="28"/>
        </w:rPr>
        <w:t>（5）联动16区特别是涉农区，筹集款物近400.00万元，助力疫情防控转段平稳有序。</w:t>
      </w:r>
    </w:p>
    <w:p>
      <w:pPr>
        <w:ind w:firstLine="640" w:firstLineChars="200"/>
        <w:rPr>
          <w:rFonts w:ascii="仿宋_GB2312" w:hAnsi="楷体" w:eastAsia="仿宋_GB2312"/>
          <w:bCs/>
          <w:kern w:val="0"/>
          <w:sz w:val="32"/>
          <w:szCs w:val="28"/>
        </w:rPr>
      </w:pPr>
      <w:r>
        <w:rPr>
          <w:rFonts w:hint="eastAsia" w:ascii="仿宋_GB2312" w:hAnsi="楷体" w:eastAsia="仿宋_GB2312"/>
          <w:bCs/>
          <w:kern w:val="0"/>
          <w:sz w:val="32"/>
          <w:szCs w:val="28"/>
        </w:rPr>
        <w:t>（6）大力加强妇女权益保障法、家庭教育促进法、未成年人保护法宣传，对504份规范性文件开展性别平等评估。</w:t>
      </w:r>
    </w:p>
    <w:p>
      <w:pPr>
        <w:ind w:firstLine="640" w:firstLineChars="200"/>
        <w:rPr>
          <w:rFonts w:ascii="仿宋_GB2312" w:hAnsi="楷体" w:eastAsia="仿宋_GB2312"/>
          <w:bCs/>
          <w:kern w:val="0"/>
          <w:sz w:val="32"/>
          <w:szCs w:val="28"/>
        </w:rPr>
      </w:pPr>
      <w:r>
        <w:rPr>
          <w:rFonts w:hint="eastAsia" w:ascii="仿宋_GB2312" w:hAnsi="楷体" w:eastAsia="仿宋_GB2312"/>
          <w:bCs/>
          <w:kern w:val="0"/>
          <w:sz w:val="32"/>
          <w:szCs w:val="28"/>
        </w:rPr>
        <w:t>（7）发挥“联”字优势，入户走访近百万户，发现婚姻家庭矛盾纠纷问题706件，通过调解、帮扶等方式化解691件，15件纳入相关部门关注。依托12345热线接诉即办，推动解决妇女诉求11000余件。</w:t>
      </w:r>
    </w:p>
    <w:p>
      <w:pPr>
        <w:ind w:firstLine="640" w:firstLineChars="200"/>
        <w:rPr>
          <w:rFonts w:ascii="仿宋_GB2312" w:hAnsi="楷体" w:eastAsia="仿宋_GB2312"/>
          <w:bCs/>
          <w:kern w:val="0"/>
          <w:sz w:val="32"/>
          <w:szCs w:val="28"/>
        </w:rPr>
      </w:pPr>
      <w:r>
        <w:rPr>
          <w:rFonts w:hint="eastAsia" w:ascii="仿宋_GB2312" w:hAnsi="楷体" w:eastAsia="仿宋_GB2312"/>
          <w:bCs/>
          <w:kern w:val="0"/>
          <w:sz w:val="32"/>
          <w:szCs w:val="28"/>
        </w:rPr>
        <w:t>（8）常态长效寻找“首都最美家庭”，评选300户年度首都最美家庭，揭晓年度“十大首都最美家庭”。</w:t>
      </w:r>
    </w:p>
    <w:p>
      <w:pPr>
        <w:ind w:firstLine="643" w:firstLineChars="200"/>
        <w:rPr>
          <w:rFonts w:ascii="仿宋_GB2312" w:hAnsi="楷体" w:eastAsia="仿宋_GB2312"/>
          <w:b/>
          <w:kern w:val="0"/>
          <w:sz w:val="32"/>
          <w:szCs w:val="28"/>
        </w:rPr>
      </w:pPr>
      <w:r>
        <w:rPr>
          <w:rFonts w:hint="eastAsia" w:ascii="仿宋_GB2312" w:hAnsi="楷体" w:eastAsia="仿宋_GB2312"/>
          <w:b/>
          <w:kern w:val="0"/>
          <w:sz w:val="32"/>
          <w:szCs w:val="28"/>
        </w:rPr>
        <w:t>2.产出质量</w:t>
      </w:r>
    </w:p>
    <w:p>
      <w:pPr>
        <w:ind w:firstLine="640" w:firstLineChars="200"/>
        <w:rPr>
          <w:rFonts w:ascii="仿宋_GB2312" w:hAnsi="楷体" w:eastAsia="仿宋_GB2312"/>
          <w:bCs/>
          <w:kern w:val="0"/>
          <w:sz w:val="32"/>
          <w:szCs w:val="28"/>
        </w:rPr>
      </w:pPr>
      <w:r>
        <w:rPr>
          <w:rFonts w:hint="eastAsia" w:ascii="仿宋_GB2312" w:hAnsi="楷体" w:eastAsia="仿宋_GB2312"/>
          <w:bCs/>
          <w:kern w:val="0"/>
          <w:sz w:val="32"/>
          <w:szCs w:val="28"/>
        </w:rPr>
        <w:t>（1）举办“第二届巾帼科技协同创新高峰论坛”，促进北京、上海、粤港澳大湾区的区域联动，探索巾帼科技协同创新的新机制、新模式、新途径。</w:t>
      </w:r>
    </w:p>
    <w:p>
      <w:pPr>
        <w:ind w:firstLine="640" w:firstLineChars="200"/>
        <w:rPr>
          <w:rFonts w:ascii="仿宋_GB2312" w:hAnsi="楷体" w:eastAsia="仿宋_GB2312"/>
          <w:bCs/>
          <w:kern w:val="0"/>
          <w:sz w:val="32"/>
          <w:szCs w:val="28"/>
        </w:rPr>
      </w:pPr>
      <w:r>
        <w:rPr>
          <w:rFonts w:hint="eastAsia" w:ascii="仿宋_GB2312" w:hAnsi="楷体" w:eastAsia="仿宋_GB2312"/>
          <w:bCs/>
          <w:kern w:val="0"/>
          <w:sz w:val="32"/>
          <w:szCs w:val="28"/>
        </w:rPr>
        <w:t>（2）打造“巾帼科技协同创新沙龙”工作品牌，深化巾帼科普志愿服务队、科普志愿服务基地建设。</w:t>
      </w:r>
    </w:p>
    <w:p>
      <w:pPr>
        <w:ind w:firstLine="640" w:firstLineChars="200"/>
        <w:rPr>
          <w:rFonts w:ascii="仿宋_GB2312" w:hAnsi="楷体" w:eastAsia="仿宋_GB2312"/>
          <w:bCs/>
          <w:kern w:val="0"/>
          <w:sz w:val="32"/>
          <w:szCs w:val="28"/>
        </w:rPr>
      </w:pPr>
      <w:r>
        <w:rPr>
          <w:rFonts w:hint="eastAsia" w:ascii="仿宋_GB2312" w:hAnsi="楷体" w:eastAsia="仿宋_GB2312"/>
          <w:bCs/>
          <w:kern w:val="0"/>
          <w:sz w:val="32"/>
          <w:szCs w:val="28"/>
        </w:rPr>
        <w:t>（3）举办红色家风讲堂，建立线上中华家风北京馆，弘扬优良家风。</w:t>
      </w:r>
    </w:p>
    <w:p>
      <w:pPr>
        <w:ind w:firstLine="640" w:firstLineChars="200"/>
        <w:rPr>
          <w:rFonts w:ascii="仿宋_GB2312" w:hAnsi="楷体" w:eastAsia="仿宋_GB2312"/>
          <w:bCs/>
          <w:kern w:val="0"/>
          <w:sz w:val="32"/>
          <w:szCs w:val="28"/>
        </w:rPr>
      </w:pPr>
      <w:r>
        <w:rPr>
          <w:rFonts w:hint="eastAsia" w:ascii="仿宋_GB2312" w:hAnsi="楷体" w:eastAsia="仿宋_GB2312"/>
          <w:bCs/>
          <w:kern w:val="0"/>
          <w:sz w:val="32"/>
          <w:szCs w:val="28"/>
        </w:rPr>
        <w:t>（4）健全学校家庭社会育人机制，在全国率先研究建立覆盖城乡的“114N”家庭教育指导服务体系，实现16区家庭教育指导中心建设全覆盖。</w:t>
      </w:r>
    </w:p>
    <w:p>
      <w:pPr>
        <w:ind w:firstLine="640" w:firstLineChars="200"/>
        <w:rPr>
          <w:rFonts w:ascii="仿宋_GB2312" w:hAnsi="楷体" w:eastAsia="仿宋_GB2312"/>
          <w:bCs/>
          <w:kern w:val="0"/>
          <w:sz w:val="32"/>
          <w:szCs w:val="28"/>
        </w:rPr>
      </w:pPr>
      <w:r>
        <w:rPr>
          <w:rFonts w:hint="eastAsia" w:ascii="仿宋_GB2312" w:hAnsi="楷体" w:eastAsia="仿宋_GB2312"/>
          <w:bCs/>
          <w:kern w:val="0"/>
          <w:sz w:val="32"/>
          <w:szCs w:val="28"/>
        </w:rPr>
        <w:t>（5）创新推广“适老适小”社区服务，推动托育、家政服务产业发展，为家庭减负提供支持。</w:t>
      </w:r>
    </w:p>
    <w:p>
      <w:pPr>
        <w:ind w:firstLine="640" w:firstLineChars="200"/>
        <w:rPr>
          <w:rFonts w:ascii="仿宋_GB2312" w:hAnsi="楷体" w:eastAsia="仿宋_GB2312"/>
          <w:bCs/>
          <w:kern w:val="0"/>
          <w:sz w:val="32"/>
          <w:szCs w:val="28"/>
        </w:rPr>
      </w:pPr>
      <w:r>
        <w:rPr>
          <w:rFonts w:hint="eastAsia" w:ascii="仿宋_GB2312" w:hAnsi="楷体" w:eastAsia="仿宋_GB2312"/>
          <w:bCs/>
          <w:kern w:val="0"/>
          <w:sz w:val="32"/>
          <w:szCs w:val="28"/>
        </w:rPr>
        <w:t>（6）大力加强妇女权益保障法、家庭教育促进法、未成年人保护法宣传。</w:t>
      </w:r>
    </w:p>
    <w:p>
      <w:pPr>
        <w:ind w:firstLine="640" w:firstLineChars="200"/>
        <w:rPr>
          <w:rFonts w:ascii="仿宋_GB2312" w:hAnsi="楷体" w:eastAsia="仿宋_GB2312"/>
          <w:bCs/>
          <w:kern w:val="0"/>
          <w:sz w:val="32"/>
          <w:szCs w:val="28"/>
        </w:rPr>
      </w:pPr>
      <w:r>
        <w:rPr>
          <w:rFonts w:hint="eastAsia" w:ascii="仿宋_GB2312" w:hAnsi="楷体" w:eastAsia="仿宋_GB2312"/>
          <w:bCs/>
          <w:kern w:val="0"/>
          <w:sz w:val="32"/>
          <w:szCs w:val="28"/>
        </w:rPr>
        <w:t>（7）持续推动妇联组织向“两新”组织延伸，在北京市行业协会商会、快递行业成立妇工委。</w:t>
      </w:r>
    </w:p>
    <w:p>
      <w:pPr>
        <w:ind w:firstLine="643" w:firstLineChars="200"/>
        <w:rPr>
          <w:rFonts w:ascii="仿宋_GB2312" w:hAnsi="楷体" w:eastAsia="仿宋_GB2312"/>
          <w:b/>
          <w:kern w:val="0"/>
          <w:sz w:val="32"/>
          <w:szCs w:val="28"/>
        </w:rPr>
      </w:pPr>
      <w:r>
        <w:rPr>
          <w:rFonts w:hint="eastAsia" w:ascii="仿宋_GB2312" w:hAnsi="楷体" w:eastAsia="仿宋_GB2312"/>
          <w:b/>
          <w:kern w:val="0"/>
          <w:sz w:val="32"/>
          <w:szCs w:val="28"/>
        </w:rPr>
        <w:t>3.产出进度</w:t>
      </w:r>
    </w:p>
    <w:p>
      <w:pPr>
        <w:ind w:firstLine="640" w:firstLineChars="200"/>
        <w:rPr>
          <w:rFonts w:ascii="仿宋_GB2312" w:hAnsi="楷体" w:eastAsia="仿宋_GB2312"/>
          <w:bCs/>
          <w:kern w:val="0"/>
          <w:sz w:val="32"/>
          <w:szCs w:val="28"/>
        </w:rPr>
      </w:pPr>
      <w:r>
        <w:rPr>
          <w:rFonts w:hint="eastAsia" w:ascii="仿宋_GB2312" w:hAnsi="楷体" w:eastAsia="仿宋_GB2312"/>
          <w:bCs/>
          <w:kern w:val="0"/>
          <w:sz w:val="32"/>
          <w:szCs w:val="28"/>
        </w:rPr>
        <w:t>市妇联工作贯穿全年，按照年初预算批复及年中预算调整情况，2022年完成了各项工作任务。</w:t>
      </w:r>
    </w:p>
    <w:p>
      <w:pPr>
        <w:ind w:firstLine="643" w:firstLineChars="200"/>
        <w:rPr>
          <w:rFonts w:ascii="仿宋_GB2312" w:hAnsi="楷体" w:eastAsia="仿宋_GB2312"/>
          <w:b/>
          <w:kern w:val="0"/>
          <w:sz w:val="32"/>
          <w:szCs w:val="28"/>
        </w:rPr>
      </w:pPr>
      <w:r>
        <w:rPr>
          <w:rFonts w:hint="eastAsia" w:ascii="仿宋_GB2312" w:hAnsi="楷体" w:eastAsia="仿宋_GB2312"/>
          <w:b/>
          <w:kern w:val="0"/>
          <w:sz w:val="32"/>
          <w:szCs w:val="28"/>
        </w:rPr>
        <w:t>4.产出成本</w:t>
      </w:r>
    </w:p>
    <w:p>
      <w:pPr>
        <w:ind w:firstLine="640" w:firstLineChars="200"/>
        <w:rPr>
          <w:rFonts w:ascii="仿宋_GB2312" w:hAnsi="楷体" w:eastAsia="仿宋_GB2312"/>
          <w:bCs/>
          <w:kern w:val="0"/>
          <w:sz w:val="32"/>
          <w:szCs w:val="28"/>
        </w:rPr>
      </w:pPr>
      <w:r>
        <w:rPr>
          <w:rFonts w:hint="eastAsia" w:ascii="仿宋_GB2312" w:hAnsi="楷体" w:eastAsia="仿宋_GB2312"/>
          <w:bCs/>
          <w:kern w:val="0"/>
          <w:sz w:val="32"/>
          <w:szCs w:val="28"/>
        </w:rPr>
        <w:t>市妇联2022年全年预算批复数10,186.58万元，实际预算支出9,600.64万元，其中，基本支出5,918.75万元，项目支出3,681.89万元，预算执行率94.25%。部门整体支出控制在预算批复范围内。</w:t>
      </w:r>
    </w:p>
    <w:p>
      <w:pPr>
        <w:spacing w:line="600" w:lineRule="exact"/>
        <w:ind w:firstLine="640" w:firstLineChars="200"/>
        <w:outlineLvl w:val="1"/>
        <w:rPr>
          <w:rFonts w:ascii="楷体" w:hAnsi="楷体" w:eastAsia="楷体"/>
          <w:sz w:val="32"/>
          <w:szCs w:val="32"/>
        </w:rPr>
      </w:pPr>
      <w:bookmarkStart w:id="6" w:name="_Toc31335"/>
      <w:r>
        <w:rPr>
          <w:rFonts w:hint="eastAsia" w:ascii="楷体" w:hAnsi="楷体" w:eastAsia="楷体"/>
          <w:sz w:val="32"/>
          <w:szCs w:val="32"/>
        </w:rPr>
        <w:t>（二）效果</w:t>
      </w:r>
      <w:r>
        <w:rPr>
          <w:rFonts w:ascii="楷体" w:hAnsi="楷体" w:eastAsia="楷体"/>
          <w:sz w:val="32"/>
          <w:szCs w:val="32"/>
        </w:rPr>
        <w:t>实现情况分析</w:t>
      </w:r>
      <w:bookmarkEnd w:id="6"/>
    </w:p>
    <w:p>
      <w:pPr>
        <w:ind w:firstLine="643" w:firstLineChars="200"/>
        <w:rPr>
          <w:rFonts w:ascii="仿宋_GB2312" w:hAnsi="楷体" w:eastAsia="仿宋_GB2312"/>
          <w:b/>
          <w:kern w:val="0"/>
          <w:sz w:val="32"/>
          <w:szCs w:val="28"/>
        </w:rPr>
      </w:pPr>
      <w:r>
        <w:rPr>
          <w:rFonts w:hint="eastAsia" w:ascii="仿宋_GB2312" w:hAnsi="楷体" w:eastAsia="仿宋_GB2312"/>
          <w:b/>
          <w:kern w:val="0"/>
          <w:sz w:val="32"/>
          <w:szCs w:val="28"/>
        </w:rPr>
        <w:t>1.社会效益</w:t>
      </w:r>
    </w:p>
    <w:p>
      <w:pPr>
        <w:ind w:firstLine="640" w:firstLineChars="200"/>
        <w:rPr>
          <w:rFonts w:ascii="仿宋_GB2312" w:hAnsi="楷体" w:eastAsia="仿宋_GB2312"/>
          <w:bCs/>
          <w:kern w:val="0"/>
          <w:sz w:val="32"/>
          <w:szCs w:val="28"/>
        </w:rPr>
      </w:pPr>
      <w:r>
        <w:rPr>
          <w:rFonts w:hint="eastAsia" w:ascii="仿宋_GB2312" w:hAnsi="楷体" w:eastAsia="仿宋_GB2312"/>
          <w:bCs/>
          <w:kern w:val="0"/>
          <w:sz w:val="32"/>
          <w:szCs w:val="28"/>
        </w:rPr>
        <w:t>（1）各级妇联组织积极参与冬奥、奉献冬奥，攻坚克难、连续奋战，圆满完成冬奥筹办服务保障任务。工作专班全力确保10万套观众物资保障和颁奖广场观众组织安全高效有序。联动开展“迎冬奥首都巾帼一起来”群众性宣传文化活动，组织动员妇女和家庭激情唱响“一起向未来”，持续营造共建双奥之城的热烈氛围。</w:t>
      </w:r>
    </w:p>
    <w:p>
      <w:pPr>
        <w:ind w:firstLine="640" w:firstLineChars="200"/>
        <w:rPr>
          <w:rFonts w:ascii="仿宋_GB2312" w:hAnsi="楷体" w:eastAsia="仿宋_GB2312"/>
          <w:bCs/>
          <w:kern w:val="0"/>
          <w:sz w:val="32"/>
          <w:szCs w:val="28"/>
        </w:rPr>
      </w:pPr>
      <w:r>
        <w:rPr>
          <w:rFonts w:hint="eastAsia" w:ascii="仿宋_GB2312" w:hAnsi="楷体" w:eastAsia="仿宋_GB2312"/>
          <w:bCs/>
          <w:kern w:val="0"/>
          <w:sz w:val="32"/>
          <w:szCs w:val="28"/>
        </w:rPr>
        <w:t>（2）广泛凝聚同心抗疫“她力量”“家力量”。主动融入首都抗疫防疫工作大局，多轮次带头倡议、组织动员广大妇女和家庭坚定信心、同舟共济、共克时艰，在守好自家门、管好自家人、站好自己岗，在社区联防联控、邻里守望相助、特殊群体关心关爱中充分发挥独特作用，为坚决打赢疫情阻击战、夺取防控斗争重大胜利贡献巾帼力量。特别是疫情严峻时刻，市区妇联上下联动、包干指导，党员干部舍家忘我、坚守一线，带动全市11万妇联执委、15万巾帼志愿者以及65万户“首都最美家庭”众志成城、共筑防线，涌现出许多可歌可泣的感人事迹。全国妇联女性之声、中国妇女报等多次报道北京妇女和家庭的抗疫故事，在全国起到示范带动作用。</w:t>
      </w:r>
    </w:p>
    <w:p>
      <w:pPr>
        <w:ind w:firstLine="643" w:firstLineChars="200"/>
        <w:rPr>
          <w:rFonts w:ascii="仿宋_GB2312" w:hAnsi="楷体" w:eastAsia="仿宋_GB2312"/>
          <w:b/>
          <w:kern w:val="0"/>
          <w:sz w:val="32"/>
          <w:szCs w:val="28"/>
        </w:rPr>
      </w:pPr>
      <w:r>
        <w:rPr>
          <w:rFonts w:hint="eastAsia" w:ascii="仿宋_GB2312" w:hAnsi="楷体" w:eastAsia="仿宋_GB2312"/>
          <w:b/>
          <w:kern w:val="0"/>
          <w:sz w:val="32"/>
          <w:szCs w:val="28"/>
        </w:rPr>
        <w:t>2.可持续性影响</w:t>
      </w:r>
    </w:p>
    <w:p>
      <w:pPr>
        <w:ind w:firstLine="640" w:firstLineChars="200"/>
        <w:rPr>
          <w:rFonts w:ascii="仿宋_GB2312" w:hAnsi="楷体" w:eastAsia="仿宋_GB2312"/>
          <w:bCs/>
          <w:kern w:val="0"/>
          <w:sz w:val="32"/>
          <w:szCs w:val="28"/>
        </w:rPr>
      </w:pPr>
      <w:r>
        <w:rPr>
          <w:rFonts w:hint="eastAsia" w:ascii="仿宋_GB2312" w:hAnsi="楷体" w:eastAsia="仿宋_GB2312"/>
          <w:bCs/>
          <w:kern w:val="0"/>
          <w:sz w:val="32"/>
          <w:szCs w:val="28"/>
        </w:rPr>
        <w:t>（1）健全学校家庭社会育人机制，在全国率先研究建立覆盖城乡的“114N”家庭教育指导服务体系，实现16区家庭教育指导中心建设全覆盖。创新推广“适老适小”社区服务，推动托育、家政服务产业发展，为家庭减负提供支持。</w:t>
      </w:r>
    </w:p>
    <w:p>
      <w:pPr>
        <w:ind w:firstLine="640" w:firstLineChars="200"/>
        <w:rPr>
          <w:rFonts w:ascii="仿宋_GB2312" w:hAnsi="楷体" w:eastAsia="仿宋_GB2312"/>
          <w:bCs/>
          <w:kern w:val="0"/>
          <w:sz w:val="32"/>
          <w:szCs w:val="28"/>
        </w:rPr>
      </w:pPr>
      <w:r>
        <w:rPr>
          <w:rFonts w:hint="eastAsia" w:ascii="仿宋_GB2312" w:hAnsi="楷体" w:eastAsia="仿宋_GB2312"/>
          <w:bCs/>
          <w:kern w:val="0"/>
          <w:sz w:val="32"/>
          <w:szCs w:val="28"/>
        </w:rPr>
        <w:t>（2）建立健全市家庭工作联席会议制度，充分发挥市级平台作用，联合市委宣传部、首都精神文明办推动将家庭家教家风建设纳入首都精神文明建设总体布局。</w:t>
      </w:r>
    </w:p>
    <w:p>
      <w:pPr>
        <w:ind w:firstLine="643" w:firstLineChars="200"/>
        <w:rPr>
          <w:rFonts w:ascii="仿宋_GB2312" w:hAnsi="楷体" w:eastAsia="仿宋_GB2312"/>
          <w:b/>
          <w:kern w:val="0"/>
          <w:sz w:val="32"/>
          <w:szCs w:val="28"/>
        </w:rPr>
      </w:pPr>
      <w:r>
        <w:rPr>
          <w:rFonts w:hint="eastAsia" w:ascii="仿宋_GB2312" w:hAnsi="楷体" w:eastAsia="仿宋_GB2312"/>
          <w:b/>
          <w:kern w:val="0"/>
          <w:sz w:val="32"/>
          <w:szCs w:val="28"/>
        </w:rPr>
        <w:t>3.服务对象满意度</w:t>
      </w:r>
    </w:p>
    <w:p>
      <w:pPr>
        <w:ind w:firstLine="640" w:firstLineChars="200"/>
        <w:rPr>
          <w:rFonts w:ascii="仿宋_GB2312" w:hAnsi="楷体" w:eastAsia="仿宋_GB2312"/>
          <w:bCs/>
          <w:kern w:val="0"/>
          <w:sz w:val="32"/>
          <w:szCs w:val="28"/>
        </w:rPr>
      </w:pPr>
      <w:r>
        <w:rPr>
          <w:rFonts w:hint="eastAsia" w:ascii="仿宋_GB2312" w:hAnsi="楷体" w:eastAsia="仿宋_GB2312"/>
          <w:bCs/>
          <w:kern w:val="0"/>
          <w:sz w:val="32"/>
          <w:szCs w:val="28"/>
        </w:rPr>
        <w:t>市妇联2022年充分发挥新媒体宣传优势，通过“北京女性”开展防拐、心理防疫加油站、家庭教育促进法、妇女权益保障法等宣传19期。联合法院、司法、人力社保等部门开展第四届“北京市依法维护妇女儿童合法权益典型案例”征集发布工作，取得较好社会效果。</w:t>
      </w:r>
      <w:r>
        <w:rPr>
          <w:rFonts w:hint="eastAsia" w:ascii="仿宋_GB2312" w:eastAsia="仿宋_GB2312"/>
          <w:sz w:val="32"/>
          <w:szCs w:val="32"/>
        </w:rPr>
        <w:t>北京市妇联宣传部获评2022年度妇女宣传舆论阵地建设先进单位。</w:t>
      </w:r>
    </w:p>
    <w:p>
      <w:pPr>
        <w:spacing w:line="600" w:lineRule="exact"/>
        <w:ind w:firstLine="640" w:firstLineChars="200"/>
        <w:outlineLvl w:val="0"/>
        <w:rPr>
          <w:rFonts w:ascii="黑体" w:hAnsi="黑体" w:eastAsia="黑体" w:cs="宋体"/>
          <w:kern w:val="0"/>
          <w:sz w:val="32"/>
          <w:szCs w:val="32"/>
        </w:rPr>
      </w:pPr>
      <w:bookmarkStart w:id="7" w:name="_Toc23823"/>
      <w:r>
        <w:rPr>
          <w:rFonts w:hint="eastAsia" w:ascii="黑体" w:hAnsi="黑体" w:eastAsia="黑体" w:cs="宋体"/>
          <w:kern w:val="0"/>
          <w:sz w:val="32"/>
          <w:szCs w:val="32"/>
        </w:rPr>
        <w:t>四</w:t>
      </w:r>
      <w:r>
        <w:rPr>
          <w:rFonts w:ascii="黑体" w:hAnsi="黑体" w:eastAsia="黑体" w:cs="宋体"/>
          <w:kern w:val="0"/>
          <w:sz w:val="32"/>
          <w:szCs w:val="32"/>
        </w:rPr>
        <w:t>、预算管理</w:t>
      </w:r>
      <w:r>
        <w:rPr>
          <w:rFonts w:hint="eastAsia" w:ascii="黑体" w:hAnsi="黑体" w:eastAsia="黑体" w:cs="宋体"/>
          <w:kern w:val="0"/>
          <w:sz w:val="32"/>
          <w:szCs w:val="32"/>
        </w:rPr>
        <w:t>情况分</w:t>
      </w:r>
      <w:r>
        <w:rPr>
          <w:rFonts w:ascii="黑体" w:hAnsi="黑体" w:eastAsia="黑体" w:cs="宋体"/>
          <w:kern w:val="0"/>
          <w:sz w:val="32"/>
          <w:szCs w:val="32"/>
        </w:rPr>
        <w:t>析</w:t>
      </w:r>
      <w:bookmarkEnd w:id="7"/>
    </w:p>
    <w:p>
      <w:pPr>
        <w:spacing w:line="600" w:lineRule="exact"/>
        <w:ind w:firstLine="640" w:firstLineChars="200"/>
        <w:outlineLvl w:val="1"/>
        <w:rPr>
          <w:rFonts w:ascii="楷体" w:hAnsi="楷体" w:eastAsia="楷体"/>
          <w:sz w:val="32"/>
          <w:szCs w:val="32"/>
        </w:rPr>
      </w:pPr>
      <w:bookmarkStart w:id="8" w:name="_Toc12974"/>
      <w:r>
        <w:rPr>
          <w:rFonts w:hint="eastAsia" w:ascii="楷体" w:hAnsi="楷体" w:eastAsia="楷体"/>
          <w:sz w:val="32"/>
          <w:szCs w:val="32"/>
        </w:rPr>
        <w:t>（一）财务管理</w:t>
      </w:r>
      <w:bookmarkEnd w:id="8"/>
    </w:p>
    <w:p>
      <w:pPr>
        <w:ind w:firstLine="643" w:firstLineChars="200"/>
        <w:rPr>
          <w:rFonts w:ascii="仿宋_GB2312" w:hAnsi="楷体" w:eastAsia="仿宋_GB2312"/>
          <w:b/>
          <w:kern w:val="0"/>
          <w:sz w:val="32"/>
          <w:szCs w:val="28"/>
        </w:rPr>
      </w:pPr>
      <w:r>
        <w:rPr>
          <w:rFonts w:hint="eastAsia" w:ascii="仿宋_GB2312" w:hAnsi="楷体" w:eastAsia="仿宋_GB2312"/>
          <w:b/>
          <w:kern w:val="0"/>
          <w:sz w:val="32"/>
          <w:szCs w:val="28"/>
        </w:rPr>
        <w:t>1.财务管理制度健全性</w:t>
      </w:r>
    </w:p>
    <w:p>
      <w:pPr>
        <w:ind w:firstLine="640" w:firstLineChars="200"/>
        <w:rPr>
          <w:rFonts w:ascii="仿宋_GB2312" w:hAnsi="楷体" w:eastAsia="仿宋_GB2312"/>
          <w:bCs/>
          <w:kern w:val="0"/>
          <w:sz w:val="32"/>
          <w:szCs w:val="28"/>
        </w:rPr>
      </w:pPr>
      <w:r>
        <w:rPr>
          <w:rFonts w:hint="eastAsia" w:ascii="仿宋_GB2312" w:hAnsi="楷体" w:eastAsia="仿宋_GB2312"/>
          <w:bCs/>
          <w:kern w:val="0"/>
          <w:sz w:val="32"/>
          <w:szCs w:val="28"/>
        </w:rPr>
        <w:t>市妇联制定了《北京市妇女联合会内部控制管理制度汇编》，已建立《北京市妇联党组“三重一大”事项决策实施办法（试行）》《中共北京市妇联党组会议事规则》《北京市妇女联合会财务管理办法》《北京市妇女联合会预算管理办法》《北京市妇女联合会经费支出管理办法》《北京市妇女联合会购买社会组织服务项目实施细则（试行）》《北京市妇女联合会采购管理办法》《北京市妇女联合会固定资产管理办法》《北京市妇女联合会合同管理办法》等相关管理制度，对预算业务、收支业务、政府采购业务、固定资产管理业务、合同业务管理等均进行了规定，部门财务管理制度较健全。</w:t>
      </w:r>
    </w:p>
    <w:p>
      <w:pPr>
        <w:ind w:firstLine="643" w:firstLineChars="200"/>
        <w:rPr>
          <w:rFonts w:ascii="仿宋_GB2312" w:hAnsi="楷体" w:eastAsia="仿宋_GB2312"/>
          <w:b/>
          <w:kern w:val="0"/>
          <w:sz w:val="32"/>
          <w:szCs w:val="28"/>
        </w:rPr>
      </w:pPr>
      <w:r>
        <w:rPr>
          <w:rFonts w:hint="eastAsia" w:ascii="仿宋_GB2312" w:hAnsi="楷体" w:eastAsia="仿宋_GB2312"/>
          <w:b/>
          <w:kern w:val="0"/>
          <w:sz w:val="32"/>
          <w:szCs w:val="28"/>
        </w:rPr>
        <w:t>2.资金使用合规性和安全性</w:t>
      </w:r>
    </w:p>
    <w:p>
      <w:pPr>
        <w:ind w:firstLine="640" w:firstLineChars="200"/>
        <w:rPr>
          <w:rFonts w:ascii="仿宋_GB2312" w:hAnsi="楷体" w:eastAsia="仿宋_GB2312"/>
          <w:bCs/>
          <w:kern w:val="0"/>
          <w:sz w:val="32"/>
          <w:szCs w:val="28"/>
        </w:rPr>
      </w:pPr>
      <w:r>
        <w:rPr>
          <w:rFonts w:hint="eastAsia" w:ascii="仿宋_GB2312" w:hAnsi="楷体" w:eastAsia="仿宋_GB2312"/>
          <w:bCs/>
          <w:kern w:val="0"/>
          <w:sz w:val="32"/>
          <w:szCs w:val="28"/>
        </w:rPr>
        <w:t>2022年，市妇联严格执行政府会计准则制度及市级财政政策和部门预算管理相关规定与工作要求，建立健全部门管理制度，强化部门财务管理，严格预算执行。</w:t>
      </w:r>
    </w:p>
    <w:p>
      <w:pPr>
        <w:ind w:firstLine="640" w:firstLineChars="200"/>
        <w:rPr>
          <w:rFonts w:ascii="仿宋_GB2312" w:hAnsi="楷体" w:eastAsia="仿宋_GB2312"/>
          <w:bCs/>
          <w:kern w:val="0"/>
          <w:sz w:val="32"/>
          <w:szCs w:val="28"/>
        </w:rPr>
      </w:pPr>
      <w:r>
        <w:rPr>
          <w:rFonts w:hint="eastAsia" w:ascii="仿宋_GB2312" w:hAnsi="楷体" w:eastAsia="仿宋_GB2312"/>
          <w:bCs/>
          <w:kern w:val="0"/>
          <w:sz w:val="32"/>
          <w:szCs w:val="28"/>
        </w:rPr>
        <w:t>市妇联各项支出严格按照北京市财政局预算批复的支出范围、开支标准以及《北京市妇联财务管理制度》执行。各项资金支出按照“逐级申报、逐级审批、合理授权”的方式，严格执行内部控制规范和支出审批程序。对于单项或批量金额在15万元（含）以上的公务支出，实行大额资金支出集体决策制度，保证资金支出的合规性、安全性。</w:t>
      </w:r>
    </w:p>
    <w:p>
      <w:pPr>
        <w:ind w:firstLine="643" w:firstLineChars="200"/>
        <w:rPr>
          <w:rFonts w:ascii="仿宋_GB2312" w:hAnsi="楷体" w:eastAsia="仿宋_GB2312"/>
          <w:b/>
          <w:kern w:val="0"/>
          <w:sz w:val="32"/>
          <w:szCs w:val="28"/>
        </w:rPr>
      </w:pPr>
      <w:r>
        <w:rPr>
          <w:rFonts w:hint="eastAsia" w:ascii="仿宋_GB2312" w:hAnsi="楷体" w:eastAsia="仿宋_GB2312"/>
          <w:b/>
          <w:kern w:val="0"/>
          <w:sz w:val="32"/>
          <w:szCs w:val="28"/>
        </w:rPr>
        <w:t>3.会计基础信息完善性</w:t>
      </w:r>
    </w:p>
    <w:p>
      <w:pPr>
        <w:ind w:firstLine="640" w:firstLineChars="200"/>
        <w:rPr>
          <w:rFonts w:ascii="仿宋_GB2312" w:hAnsi="楷体" w:eastAsia="仿宋_GB2312"/>
          <w:bCs/>
          <w:kern w:val="0"/>
          <w:sz w:val="32"/>
          <w:szCs w:val="28"/>
        </w:rPr>
      </w:pPr>
      <w:r>
        <w:rPr>
          <w:rFonts w:hint="eastAsia" w:ascii="仿宋_GB2312" w:hAnsi="楷体" w:eastAsia="仿宋_GB2312"/>
          <w:bCs/>
          <w:kern w:val="0"/>
          <w:sz w:val="32"/>
          <w:szCs w:val="28"/>
        </w:rPr>
        <w:t>市妇联根据政府会计改革要求，实行新政府会计准则和制度。严格按照《财政部关于贯彻实施政府会计准则制度的通知》和市级财政工作要求设置会计账簿，根据实际发生的经济事项进行会计核算，填制会计凭证，登记会计账簿，编制财务会计报告。定期或者不定期对资产进行账务清理、对实物进行清查盘点。办公室财务负责往来款项的日常管理，设立登记往来款项的备查账，对现已形成的债权债务进行定期清理，并对往来款项的性质予以归类。通过登记固定资产台账、及时编制会计凭证，登记会计账簿、编制财务报告等会计基础工作，保证会计基础信息资料真实、完整。</w:t>
      </w:r>
    </w:p>
    <w:p>
      <w:pPr>
        <w:spacing w:line="600" w:lineRule="exact"/>
        <w:ind w:firstLine="640" w:firstLineChars="200"/>
        <w:outlineLvl w:val="1"/>
        <w:rPr>
          <w:rFonts w:ascii="楷体" w:hAnsi="楷体" w:eastAsia="楷体"/>
          <w:sz w:val="32"/>
          <w:szCs w:val="32"/>
        </w:rPr>
      </w:pPr>
      <w:bookmarkStart w:id="9" w:name="_Toc25789"/>
      <w:r>
        <w:rPr>
          <w:rFonts w:hint="eastAsia" w:ascii="楷体" w:hAnsi="楷体" w:eastAsia="楷体"/>
          <w:sz w:val="32"/>
          <w:szCs w:val="32"/>
        </w:rPr>
        <w:t>（二）资产管理</w:t>
      </w:r>
      <w:bookmarkEnd w:id="9"/>
    </w:p>
    <w:p>
      <w:pPr>
        <w:ind w:firstLine="643" w:firstLineChars="200"/>
        <w:rPr>
          <w:rFonts w:ascii="仿宋_GB2312" w:hAnsi="楷体" w:eastAsia="仿宋_GB2312"/>
          <w:b/>
          <w:kern w:val="0"/>
          <w:sz w:val="32"/>
          <w:szCs w:val="28"/>
        </w:rPr>
      </w:pPr>
      <w:r>
        <w:rPr>
          <w:rFonts w:hint="eastAsia" w:ascii="仿宋_GB2312" w:hAnsi="楷体" w:eastAsia="仿宋_GB2312"/>
          <w:b/>
          <w:kern w:val="0"/>
          <w:sz w:val="32"/>
          <w:szCs w:val="28"/>
        </w:rPr>
        <w:t>1.资产总体情况</w:t>
      </w:r>
    </w:p>
    <w:p>
      <w:pPr>
        <w:ind w:firstLine="640" w:firstLineChars="200"/>
        <w:rPr>
          <w:rFonts w:ascii="仿宋_GB2312" w:hAnsi="楷体" w:eastAsia="仿宋_GB2312"/>
          <w:bCs/>
          <w:kern w:val="0"/>
          <w:sz w:val="32"/>
          <w:szCs w:val="28"/>
        </w:rPr>
      </w:pPr>
      <w:r>
        <w:rPr>
          <w:rFonts w:hint="eastAsia" w:ascii="仿宋_GB2312" w:hAnsi="楷体" w:eastAsia="仿宋_GB2312"/>
          <w:bCs/>
          <w:kern w:val="0"/>
          <w:sz w:val="32"/>
          <w:szCs w:val="28"/>
        </w:rPr>
        <w:t>截至2022年12月31日，市妇联资产总额账面净值2,265.25万元，其中：货币资金430.10万元，财政应返还额度585.94万元，其他应收款净额22.70万元，固定资产净值884.80万元，无形资产净值338.81万元，受托代理资产2.90万元，无在建工程。</w:t>
      </w:r>
    </w:p>
    <w:p>
      <w:pPr>
        <w:ind w:firstLine="640" w:firstLineChars="200"/>
        <w:rPr>
          <w:rFonts w:ascii="仿宋_GB2312" w:hAnsi="楷体" w:eastAsia="仿宋_GB2312"/>
          <w:bCs/>
          <w:kern w:val="0"/>
          <w:sz w:val="32"/>
          <w:szCs w:val="28"/>
        </w:rPr>
      </w:pPr>
      <w:r>
        <w:rPr>
          <w:rFonts w:hint="eastAsia" w:ascii="仿宋_GB2312" w:hAnsi="楷体" w:eastAsia="仿宋_GB2312"/>
          <w:bCs/>
          <w:kern w:val="0"/>
          <w:sz w:val="32"/>
          <w:szCs w:val="28"/>
        </w:rPr>
        <w:t>固定资产净值884.80万元，其中房屋和构筑物180.35万元，占固定资产的20.38%（其中，房屋180.35万元，占固定资产的20.38%）；设备469.19万元，占固定资产的53.03%，其中车辆为0万元；图书档案129.71万元，占固定资产的14.66%；家具和用具105.55万元，占固定资产的11.93%。</w:t>
      </w:r>
    </w:p>
    <w:p>
      <w:pPr>
        <w:ind w:firstLine="640" w:firstLineChars="200"/>
        <w:rPr>
          <w:rFonts w:ascii="仿宋_GB2312" w:hAnsi="楷体" w:eastAsia="仿宋_GB2312"/>
          <w:bCs/>
          <w:kern w:val="0"/>
          <w:sz w:val="32"/>
          <w:szCs w:val="28"/>
        </w:rPr>
      </w:pPr>
      <w:r>
        <w:rPr>
          <w:rFonts w:hint="eastAsia" w:ascii="仿宋_GB2312" w:hAnsi="楷体" w:eastAsia="仿宋_GB2312"/>
          <w:bCs/>
          <w:kern w:val="0"/>
          <w:sz w:val="32"/>
          <w:szCs w:val="28"/>
        </w:rPr>
        <w:t>市妇联自用固定资产原值2,174.54万元，占账面固定资产总额的100.00%，其中，在用2,149.82万元，占账面固定资产总额的98.86%；待处置（待报废、毁损等）24.72万元，占账面固定资产总额的1.14%。</w:t>
      </w:r>
    </w:p>
    <w:p>
      <w:pPr>
        <w:ind w:firstLine="640" w:firstLineChars="200"/>
        <w:rPr>
          <w:rFonts w:ascii="仿宋_GB2312" w:hAnsi="楷体" w:eastAsia="仿宋_GB2312"/>
          <w:bCs/>
          <w:kern w:val="0"/>
          <w:sz w:val="32"/>
          <w:szCs w:val="28"/>
        </w:rPr>
      </w:pPr>
      <w:r>
        <w:rPr>
          <w:rFonts w:hint="eastAsia" w:ascii="仿宋_GB2312" w:hAnsi="楷体" w:eastAsia="仿宋_GB2312"/>
          <w:bCs/>
          <w:kern w:val="0"/>
          <w:sz w:val="32"/>
          <w:szCs w:val="28"/>
        </w:rPr>
        <w:t>市妇联自用无形资产508.59万元，全部在用，无出租出借无形资产。</w:t>
      </w:r>
    </w:p>
    <w:p>
      <w:pPr>
        <w:ind w:firstLine="640" w:firstLineChars="200"/>
        <w:rPr>
          <w:rFonts w:ascii="仿宋_GB2312" w:hAnsi="楷体" w:eastAsia="仿宋_GB2312"/>
          <w:bCs/>
          <w:kern w:val="0"/>
          <w:sz w:val="32"/>
          <w:szCs w:val="28"/>
        </w:rPr>
      </w:pPr>
      <w:r>
        <w:rPr>
          <w:rFonts w:hint="eastAsia" w:ascii="仿宋_GB2312" w:hAnsi="楷体" w:eastAsia="仿宋_GB2312"/>
          <w:bCs/>
          <w:kern w:val="0"/>
          <w:sz w:val="32"/>
          <w:szCs w:val="28"/>
        </w:rPr>
        <w:t>市妇联处置资产95.93万元，全部为固定资产，处置形式为报废。</w:t>
      </w:r>
    </w:p>
    <w:p>
      <w:pPr>
        <w:ind w:firstLine="643" w:firstLineChars="200"/>
        <w:rPr>
          <w:rFonts w:ascii="仿宋_GB2312" w:hAnsi="楷体" w:eastAsia="仿宋_GB2312"/>
          <w:b/>
          <w:kern w:val="0"/>
          <w:sz w:val="32"/>
          <w:szCs w:val="28"/>
        </w:rPr>
      </w:pPr>
      <w:r>
        <w:rPr>
          <w:rFonts w:hint="eastAsia" w:ascii="仿宋_GB2312" w:hAnsi="楷体" w:eastAsia="仿宋_GB2312"/>
          <w:b/>
          <w:kern w:val="0"/>
          <w:sz w:val="32"/>
          <w:szCs w:val="28"/>
        </w:rPr>
        <w:t>2.资产管理制度及过程管理情况</w:t>
      </w:r>
    </w:p>
    <w:p>
      <w:pPr>
        <w:ind w:firstLine="640" w:firstLineChars="200"/>
        <w:rPr>
          <w:rFonts w:ascii="仿宋_GB2312" w:hAnsi="楷体" w:eastAsia="仿宋_GB2312"/>
          <w:bCs/>
          <w:kern w:val="0"/>
          <w:sz w:val="32"/>
          <w:szCs w:val="28"/>
        </w:rPr>
      </w:pPr>
      <w:r>
        <w:rPr>
          <w:rFonts w:hint="eastAsia" w:ascii="仿宋_GB2312" w:hAnsi="楷体" w:eastAsia="仿宋_GB2312"/>
          <w:bCs/>
          <w:kern w:val="0"/>
          <w:sz w:val="32"/>
          <w:szCs w:val="28"/>
        </w:rPr>
        <w:t>在资产管理制度建立方面，市妇联制定《北京市妇女联合会固定资产管理办法》，明确固定资产配置、计价、验收和登记、日常管理、盘点、处置、清查等工作内容，严格规范固定资产管理。</w:t>
      </w:r>
    </w:p>
    <w:p>
      <w:pPr>
        <w:ind w:firstLine="640" w:firstLineChars="200"/>
        <w:rPr>
          <w:rFonts w:ascii="仿宋_GB2312" w:hAnsi="楷体" w:eastAsia="仿宋_GB2312"/>
          <w:bCs/>
          <w:kern w:val="0"/>
          <w:sz w:val="32"/>
          <w:szCs w:val="28"/>
        </w:rPr>
      </w:pPr>
      <w:r>
        <w:rPr>
          <w:rFonts w:hint="eastAsia" w:ascii="仿宋_GB2312" w:hAnsi="楷体" w:eastAsia="仿宋_GB2312"/>
          <w:bCs/>
          <w:kern w:val="0"/>
          <w:sz w:val="32"/>
          <w:szCs w:val="28"/>
        </w:rPr>
        <w:t>在资产管理方面，市妇联严格执行资产管理规定与工作要求，一是进一步完善固定资产申请购买、入库、领用、转移及报废的各项手续材料，确保做到“精准管理”“有效管理”。二是认真贯彻落实相关部门有关要求，及时开展固定资产核实清查工作，对机关固定资产使用留存状况进行登记清查，做到摸清家底，全面掌握底数，确保账实相符。对现有固定资产留置、待报废进行进行分类，做好实物资产的管理与处置工作。三是做到增强管理意识、加强日常管理、及时登记账卡、落实管理责任，不断健全管理体制，明确部门职责。</w:t>
      </w:r>
    </w:p>
    <w:p>
      <w:pPr>
        <w:spacing w:line="600" w:lineRule="exact"/>
        <w:ind w:firstLine="640" w:firstLineChars="200"/>
        <w:outlineLvl w:val="1"/>
        <w:rPr>
          <w:rFonts w:ascii="楷体" w:hAnsi="楷体" w:eastAsia="楷体"/>
          <w:sz w:val="32"/>
          <w:szCs w:val="32"/>
        </w:rPr>
      </w:pPr>
      <w:bookmarkStart w:id="10" w:name="_Toc29375"/>
      <w:r>
        <w:rPr>
          <w:rFonts w:hint="eastAsia" w:ascii="楷体" w:hAnsi="楷体" w:eastAsia="楷体"/>
          <w:sz w:val="32"/>
          <w:szCs w:val="32"/>
        </w:rPr>
        <w:t>（三）绩效</w:t>
      </w:r>
      <w:r>
        <w:rPr>
          <w:rFonts w:ascii="楷体" w:hAnsi="楷体" w:eastAsia="楷体"/>
          <w:sz w:val="32"/>
          <w:szCs w:val="32"/>
        </w:rPr>
        <w:t>管理</w:t>
      </w:r>
      <w:bookmarkEnd w:id="10"/>
    </w:p>
    <w:p>
      <w:pPr>
        <w:ind w:firstLine="640" w:firstLineChars="200"/>
        <w:rPr>
          <w:rFonts w:ascii="仿宋_GB2312" w:hAnsi="楷体" w:eastAsia="仿宋_GB2312"/>
          <w:bCs/>
          <w:kern w:val="0"/>
          <w:sz w:val="32"/>
          <w:szCs w:val="28"/>
        </w:rPr>
      </w:pPr>
      <w:r>
        <w:rPr>
          <w:rFonts w:hint="eastAsia" w:ascii="仿宋_GB2312" w:hAnsi="楷体" w:eastAsia="仿宋_GB2312"/>
          <w:bCs/>
          <w:kern w:val="0"/>
          <w:sz w:val="32"/>
          <w:szCs w:val="28"/>
        </w:rPr>
        <w:t>市妇联按照“预算编制有目标、预算执行有监控、预算完成有评价、评价结果有反馈、反馈结果有应用”的预算绩效管理要求，不断推进实施全面预算绩效管理，强化绩效监控，推进预算与绩效管理一体化。</w:t>
      </w:r>
    </w:p>
    <w:p>
      <w:pPr>
        <w:ind w:firstLine="640" w:firstLineChars="200"/>
        <w:rPr>
          <w:rFonts w:ascii="仿宋_GB2312" w:hAnsi="楷体" w:eastAsia="仿宋_GB2312"/>
          <w:bCs/>
          <w:kern w:val="0"/>
          <w:sz w:val="32"/>
          <w:szCs w:val="28"/>
        </w:rPr>
      </w:pPr>
      <w:r>
        <w:rPr>
          <w:rFonts w:hint="eastAsia" w:ascii="仿宋_GB2312" w:hAnsi="楷体" w:eastAsia="仿宋_GB2312"/>
          <w:bCs/>
          <w:kern w:val="0"/>
          <w:sz w:val="32"/>
          <w:szCs w:val="28"/>
        </w:rPr>
        <w:t>一是扎实开展年度预算绩效评价工作，组织实施2021年度项目部门绩效自评。</w:t>
      </w:r>
    </w:p>
    <w:p>
      <w:pPr>
        <w:ind w:firstLine="640" w:firstLineChars="200"/>
        <w:rPr>
          <w:rFonts w:ascii="仿宋_GB2312" w:hAnsi="楷体" w:eastAsia="仿宋_GB2312"/>
          <w:bCs/>
          <w:kern w:val="0"/>
          <w:sz w:val="32"/>
          <w:szCs w:val="28"/>
        </w:rPr>
      </w:pPr>
      <w:r>
        <w:rPr>
          <w:rFonts w:hint="eastAsia" w:ascii="仿宋_GB2312" w:hAnsi="楷体" w:eastAsia="仿宋_GB2312"/>
          <w:bCs/>
          <w:kern w:val="0"/>
          <w:sz w:val="32"/>
          <w:szCs w:val="28"/>
        </w:rPr>
        <w:t>二是开展2022年部门预算项目全过程绩效监控，并对重点项目绩效目标阶段性完成情况与预算执行情况进行“双监控”，加大绩效督导，及时纠正偏差；通过预算绩效管理，强化评价分析结果应用，充分发挥财政资金的使用效益，提升预算绩效管理水平。</w:t>
      </w:r>
    </w:p>
    <w:p>
      <w:pPr>
        <w:ind w:firstLine="640" w:firstLineChars="200"/>
        <w:rPr>
          <w:rFonts w:ascii="仿宋_GB2312" w:hAnsi="楷体" w:eastAsia="仿宋_GB2312"/>
          <w:bCs/>
          <w:kern w:val="0"/>
          <w:sz w:val="32"/>
          <w:szCs w:val="28"/>
        </w:rPr>
      </w:pPr>
      <w:r>
        <w:rPr>
          <w:rFonts w:hint="eastAsia" w:ascii="仿宋_GB2312" w:hAnsi="楷体" w:eastAsia="仿宋_GB2312"/>
          <w:bCs/>
          <w:kern w:val="0"/>
          <w:sz w:val="32"/>
          <w:szCs w:val="28"/>
        </w:rPr>
        <w:t>三是开展2022年度“信息系统运维类项目（领域）”成本预算绩效分析，对“信息系统运维类项目（领域）”支出的历史成本进行梳理，分析领域内容构成，找出影响成本的关键因素。与绩效目标相结合，按照投入成本、产出质量与效益相匹配对应的原则，全面衡量各项内容的投入成本并进行分析，明确了部分内容的成本定额</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强化了成本绩效意识，为</w:t>
      </w:r>
      <w:r>
        <w:rPr>
          <w:rFonts w:hint="eastAsia" w:ascii="仿宋_GB2312" w:hAnsi="仿宋_GB2312" w:eastAsia="仿宋_GB2312" w:cs="仿宋_GB2312"/>
          <w:kern w:val="0"/>
          <w:sz w:val="32"/>
          <w:szCs w:val="32"/>
          <w:lang w:val="zh-CN"/>
        </w:rPr>
        <w:t>实现“预算安排核成本、资金使用有规范、综合考评讲绩效”的预算管理模式</w:t>
      </w:r>
      <w:r>
        <w:rPr>
          <w:rFonts w:hint="eastAsia" w:ascii="仿宋_GB2312" w:hAnsi="仿宋_GB2312" w:eastAsia="仿宋_GB2312" w:cs="仿宋_GB2312"/>
          <w:kern w:val="0"/>
          <w:sz w:val="32"/>
          <w:szCs w:val="32"/>
        </w:rPr>
        <w:t>奠定基础</w:t>
      </w:r>
      <w:r>
        <w:rPr>
          <w:rFonts w:hint="eastAsia" w:ascii="仿宋_GB2312" w:hAnsi="仿宋_GB2312" w:eastAsia="仿宋_GB2312" w:cs="仿宋_GB2312"/>
          <w:sz w:val="32"/>
          <w:szCs w:val="32"/>
        </w:rPr>
        <w:t>。</w:t>
      </w:r>
    </w:p>
    <w:p>
      <w:pPr>
        <w:ind w:firstLine="640" w:firstLineChars="200"/>
        <w:rPr>
          <w:rFonts w:ascii="仿宋_GB2312" w:hAnsi="楷体" w:eastAsia="仿宋_GB2312"/>
          <w:bCs/>
          <w:kern w:val="0"/>
          <w:sz w:val="32"/>
          <w:szCs w:val="28"/>
        </w:rPr>
      </w:pPr>
      <w:r>
        <w:rPr>
          <w:rFonts w:hint="eastAsia" w:ascii="仿宋_GB2312" w:hAnsi="楷体" w:eastAsia="仿宋_GB2312"/>
          <w:bCs/>
          <w:kern w:val="0"/>
          <w:sz w:val="32"/>
          <w:szCs w:val="28"/>
        </w:rPr>
        <w:t>本次绩效评价工作，市妇联按照《北京市财政局关于2023年推进全面实施预算绩效管理工作的预通知》工作安排，对33个部门预算项目采取单位自评方式开展绩效评价，出具项目支出绩效自评表；对“妇女宣传思想政治引领”项目开展部门评价，出具绩效评价报告。从总体评价结果来看，各项目能够较好地按照预算申报的情况完成，绩效目标设定较为合理，各项目绩效目标及指标的完成情况较好，项目执行过程比较规范，项目效果基本达到预定目标。</w:t>
      </w:r>
    </w:p>
    <w:p>
      <w:pPr>
        <w:spacing w:line="600" w:lineRule="exact"/>
        <w:ind w:firstLine="640" w:firstLineChars="200"/>
        <w:outlineLvl w:val="1"/>
        <w:rPr>
          <w:rFonts w:ascii="楷体" w:hAnsi="楷体" w:eastAsia="楷体"/>
          <w:sz w:val="32"/>
          <w:szCs w:val="32"/>
        </w:rPr>
      </w:pPr>
      <w:bookmarkStart w:id="11" w:name="_Toc25942"/>
      <w:r>
        <w:rPr>
          <w:rFonts w:hint="eastAsia" w:ascii="楷体" w:hAnsi="楷体" w:eastAsia="楷体"/>
          <w:sz w:val="32"/>
          <w:szCs w:val="32"/>
        </w:rPr>
        <w:t>（四）结转结余率</w:t>
      </w:r>
      <w:bookmarkEnd w:id="11"/>
    </w:p>
    <w:p>
      <w:pPr>
        <w:ind w:firstLine="640" w:firstLineChars="200"/>
        <w:rPr>
          <w:rFonts w:ascii="仿宋_GB2312" w:hAnsi="楷体" w:eastAsia="仿宋_GB2312"/>
          <w:bCs/>
          <w:kern w:val="0"/>
          <w:sz w:val="32"/>
          <w:szCs w:val="28"/>
        </w:rPr>
      </w:pPr>
      <w:r>
        <w:rPr>
          <w:rFonts w:hint="eastAsia" w:ascii="仿宋_GB2312" w:hAnsi="楷体" w:eastAsia="仿宋_GB2312"/>
          <w:bCs/>
          <w:kern w:val="0"/>
          <w:sz w:val="32"/>
          <w:szCs w:val="28"/>
        </w:rPr>
        <w:t>市妇联2022年全年预算批复数10,186.58万元，结转结余585.94万元，结转结余率为5.75%，较上年结转结余率11.03%低5.28%。</w:t>
      </w:r>
      <w:r>
        <w:rPr>
          <w:rFonts w:hint="eastAsia" w:ascii="仿宋_GB2312" w:hAnsi="仿宋" w:eastAsia="仿宋_GB2312"/>
          <w:sz w:val="32"/>
          <w:szCs w:val="32"/>
        </w:rPr>
        <w:t>2022年全部为财政拨款资金结转结余，其中基本经费结转398.95万元，项目经费结转和结余186.99万元。</w:t>
      </w:r>
    </w:p>
    <w:p>
      <w:pPr>
        <w:spacing w:line="600" w:lineRule="exact"/>
        <w:ind w:firstLine="640" w:firstLineChars="200"/>
        <w:outlineLvl w:val="1"/>
        <w:rPr>
          <w:rFonts w:ascii="楷体" w:hAnsi="楷体" w:eastAsia="楷体"/>
          <w:sz w:val="32"/>
          <w:szCs w:val="32"/>
        </w:rPr>
      </w:pPr>
      <w:bookmarkStart w:id="12" w:name="_Toc23591"/>
      <w:r>
        <w:rPr>
          <w:rFonts w:hint="eastAsia" w:ascii="楷体" w:hAnsi="楷体" w:eastAsia="楷体"/>
          <w:sz w:val="32"/>
          <w:szCs w:val="32"/>
        </w:rPr>
        <w:t>（五）部门</w:t>
      </w:r>
      <w:r>
        <w:rPr>
          <w:rFonts w:ascii="楷体" w:hAnsi="楷体" w:eastAsia="楷体"/>
          <w:sz w:val="32"/>
          <w:szCs w:val="32"/>
        </w:rPr>
        <w:t>预决算差异率</w:t>
      </w:r>
      <w:bookmarkEnd w:id="12"/>
    </w:p>
    <w:p>
      <w:pPr>
        <w:ind w:firstLine="640" w:firstLineChars="200"/>
        <w:rPr>
          <w:rFonts w:ascii="仿宋_GB2312" w:hAnsi="楷体" w:eastAsia="仿宋_GB2312"/>
          <w:bCs/>
          <w:kern w:val="0"/>
          <w:sz w:val="32"/>
          <w:szCs w:val="28"/>
        </w:rPr>
      </w:pPr>
      <w:r>
        <w:rPr>
          <w:rFonts w:hint="eastAsia" w:ascii="仿宋_GB2312" w:hAnsi="楷体" w:eastAsia="仿宋_GB2312"/>
          <w:bCs/>
          <w:kern w:val="0"/>
          <w:sz w:val="32"/>
          <w:szCs w:val="28"/>
        </w:rPr>
        <w:t>市妇联2022年初预算10,078.43万元，年度决算10,186.58万元，预决算差异率为1.07%，低于市级平均差异率（28.30%）。部门预决算差异率控制情况较好。</w:t>
      </w:r>
    </w:p>
    <w:p>
      <w:pPr>
        <w:spacing w:line="600" w:lineRule="exact"/>
        <w:ind w:firstLine="640" w:firstLineChars="200"/>
        <w:outlineLvl w:val="0"/>
        <w:rPr>
          <w:rFonts w:ascii="黑体" w:hAnsi="黑体" w:eastAsia="黑体" w:cs="宋体"/>
          <w:color w:val="000000"/>
          <w:kern w:val="0"/>
          <w:sz w:val="32"/>
          <w:szCs w:val="32"/>
        </w:rPr>
      </w:pPr>
      <w:bookmarkStart w:id="13" w:name="_Toc24231"/>
      <w:r>
        <w:rPr>
          <w:rFonts w:hint="eastAsia" w:ascii="黑体" w:hAnsi="黑体" w:eastAsia="黑体" w:cs="宋体"/>
          <w:color w:val="000000"/>
          <w:kern w:val="0"/>
          <w:sz w:val="32"/>
          <w:szCs w:val="32"/>
        </w:rPr>
        <w:t>五、总体</w:t>
      </w:r>
      <w:r>
        <w:rPr>
          <w:rFonts w:ascii="黑体" w:hAnsi="黑体" w:eastAsia="黑体" w:cs="宋体"/>
          <w:color w:val="000000"/>
          <w:kern w:val="0"/>
          <w:sz w:val="32"/>
          <w:szCs w:val="32"/>
        </w:rPr>
        <w:t>评价结论</w:t>
      </w:r>
      <w:bookmarkEnd w:id="13"/>
    </w:p>
    <w:p>
      <w:pPr>
        <w:spacing w:line="600" w:lineRule="exact"/>
        <w:ind w:firstLine="640" w:firstLineChars="200"/>
        <w:outlineLvl w:val="1"/>
        <w:rPr>
          <w:rFonts w:ascii="楷体" w:hAnsi="楷体" w:eastAsia="楷体"/>
          <w:sz w:val="32"/>
          <w:szCs w:val="32"/>
        </w:rPr>
      </w:pPr>
      <w:bookmarkStart w:id="14" w:name="_Toc27202"/>
      <w:r>
        <w:rPr>
          <w:rFonts w:hint="eastAsia" w:ascii="楷体" w:hAnsi="楷体" w:eastAsia="楷体"/>
          <w:sz w:val="32"/>
          <w:szCs w:val="32"/>
        </w:rPr>
        <w:t>（一）评价</w:t>
      </w:r>
      <w:r>
        <w:rPr>
          <w:rFonts w:ascii="楷体" w:hAnsi="楷体" w:eastAsia="楷体"/>
          <w:sz w:val="32"/>
          <w:szCs w:val="32"/>
        </w:rPr>
        <w:t>得分</w:t>
      </w:r>
      <w:r>
        <w:rPr>
          <w:rFonts w:hint="eastAsia" w:ascii="楷体" w:hAnsi="楷体" w:eastAsia="楷体"/>
          <w:sz w:val="32"/>
          <w:szCs w:val="32"/>
        </w:rPr>
        <w:t>情况</w:t>
      </w:r>
      <w:bookmarkEnd w:id="14"/>
    </w:p>
    <w:p>
      <w:pPr>
        <w:ind w:firstLine="640" w:firstLineChars="200"/>
        <w:rPr>
          <w:rFonts w:ascii="仿宋_GB2312" w:hAnsi="楷体" w:eastAsia="仿宋_GB2312"/>
          <w:bCs/>
          <w:kern w:val="0"/>
          <w:sz w:val="32"/>
          <w:szCs w:val="28"/>
        </w:rPr>
      </w:pPr>
      <w:r>
        <w:rPr>
          <w:rFonts w:hint="eastAsia" w:ascii="仿宋_GB2312" w:hAnsi="楷体" w:eastAsia="仿宋_GB2312"/>
          <w:bCs/>
          <w:kern w:val="0"/>
          <w:sz w:val="32"/>
          <w:szCs w:val="28"/>
        </w:rPr>
        <w:t>经评价，市妇联2022年度部门整体支出绩效评价总得分87.45分，评价结果为“良好”。其中当年预算执行情况得分18.85分；整体绩效目标实现情况得分51.10分；预算管理情况得分17.50分。</w:t>
      </w:r>
    </w:p>
    <w:p>
      <w:pPr>
        <w:spacing w:line="600" w:lineRule="exact"/>
        <w:ind w:firstLine="640" w:firstLineChars="200"/>
        <w:outlineLvl w:val="1"/>
        <w:rPr>
          <w:rFonts w:ascii="楷体" w:hAnsi="楷体" w:eastAsia="楷体"/>
          <w:sz w:val="32"/>
          <w:szCs w:val="32"/>
        </w:rPr>
      </w:pPr>
      <w:bookmarkStart w:id="15" w:name="_Toc30285"/>
      <w:r>
        <w:rPr>
          <w:rFonts w:hint="eastAsia" w:ascii="楷体" w:hAnsi="楷体" w:eastAsia="楷体"/>
          <w:sz w:val="32"/>
          <w:szCs w:val="32"/>
        </w:rPr>
        <w:t>（二）存在的问题</w:t>
      </w:r>
      <w:bookmarkEnd w:id="15"/>
    </w:p>
    <w:p>
      <w:pPr>
        <w:ind w:firstLine="640" w:firstLineChars="200"/>
        <w:rPr>
          <w:rFonts w:ascii="仿宋_GB2312" w:hAnsi="楷体" w:eastAsia="仿宋_GB2312"/>
          <w:bCs/>
          <w:kern w:val="0"/>
          <w:sz w:val="32"/>
          <w:szCs w:val="28"/>
        </w:rPr>
      </w:pPr>
      <w:r>
        <w:rPr>
          <w:rFonts w:hint="eastAsia" w:ascii="仿宋_GB2312" w:hAnsi="楷体" w:eastAsia="仿宋_GB2312"/>
          <w:bCs/>
          <w:kern w:val="0"/>
          <w:sz w:val="32"/>
          <w:szCs w:val="28"/>
        </w:rPr>
        <w:t>1.部门整体绩效目标设置不够细化，目标与部门职责职能和预算、重点工作任务的结合紧密度不够；部门整体绩效指标均为定性指标，缺乏细化、量化、可考核性；部门决策依据的充分性待提高，项目预算申报普遍存在缺少数量、单价和收费标准相关依据。</w:t>
      </w:r>
    </w:p>
    <w:p>
      <w:pPr>
        <w:ind w:firstLine="640" w:firstLineChars="200"/>
        <w:rPr>
          <w:rFonts w:ascii="仿宋_GB2312" w:hAnsi="楷体" w:eastAsia="仿宋_GB2312"/>
          <w:bCs/>
          <w:kern w:val="0"/>
          <w:sz w:val="32"/>
          <w:szCs w:val="28"/>
        </w:rPr>
      </w:pPr>
      <w:r>
        <w:rPr>
          <w:rFonts w:hint="eastAsia" w:ascii="仿宋_GB2312" w:hAnsi="楷体" w:eastAsia="仿宋_GB2312"/>
          <w:bCs/>
          <w:kern w:val="0"/>
          <w:sz w:val="32"/>
          <w:szCs w:val="28"/>
        </w:rPr>
        <w:t>2.个别项目子内容较多，仅制定子项目的活动方案，未建立项目整体实施方案，缺乏对项目实施的统筹和指导作用。部分项目活动方案缺少项目管理要求、预期风险应对措施等内容，方案内容完整性有待加强。</w:t>
      </w:r>
    </w:p>
    <w:p>
      <w:pPr>
        <w:ind w:firstLine="640" w:firstLineChars="200"/>
        <w:rPr>
          <w:rFonts w:ascii="仿宋_GB2312" w:hAnsi="楷体" w:eastAsia="仿宋_GB2312"/>
          <w:bCs/>
          <w:kern w:val="0"/>
          <w:sz w:val="32"/>
          <w:szCs w:val="28"/>
        </w:rPr>
      </w:pPr>
      <w:r>
        <w:rPr>
          <w:rFonts w:hint="eastAsia" w:ascii="仿宋_GB2312" w:hAnsi="楷体" w:eastAsia="仿宋_GB2312"/>
          <w:bCs/>
          <w:kern w:val="0"/>
          <w:sz w:val="32"/>
          <w:szCs w:val="28"/>
        </w:rPr>
        <w:t>3.呈现项目效益效果的有效证明资料不够充分，部分项目预算绩效信息收集及时性和完整性有待提高；部分项目满意度调查工作开展不够充分，不能体现通过项目实施以及开展各项活动受益服务对象的满意程度。</w:t>
      </w:r>
    </w:p>
    <w:p>
      <w:pPr>
        <w:spacing w:line="600" w:lineRule="exact"/>
        <w:ind w:firstLine="640" w:firstLineChars="200"/>
        <w:outlineLvl w:val="0"/>
        <w:rPr>
          <w:rFonts w:ascii="黑体" w:hAnsi="黑体" w:eastAsia="黑体" w:cs="宋体"/>
          <w:color w:val="000000"/>
          <w:kern w:val="0"/>
          <w:sz w:val="32"/>
          <w:szCs w:val="32"/>
        </w:rPr>
      </w:pPr>
      <w:bookmarkStart w:id="16" w:name="_Toc19720"/>
      <w:r>
        <w:rPr>
          <w:rFonts w:hint="eastAsia" w:ascii="黑体" w:hAnsi="黑体" w:eastAsia="黑体" w:cs="宋体"/>
          <w:color w:val="000000"/>
          <w:kern w:val="0"/>
          <w:sz w:val="32"/>
          <w:szCs w:val="32"/>
        </w:rPr>
        <w:t>六、措施建议</w:t>
      </w:r>
      <w:bookmarkEnd w:id="16"/>
    </w:p>
    <w:p>
      <w:pPr>
        <w:ind w:firstLine="640" w:firstLineChars="200"/>
        <w:rPr>
          <w:rFonts w:ascii="仿宋_GB2312" w:hAnsi="楷体" w:eastAsia="仿宋_GB2312"/>
          <w:bCs/>
          <w:kern w:val="0"/>
          <w:sz w:val="32"/>
          <w:szCs w:val="28"/>
        </w:rPr>
      </w:pPr>
      <w:bookmarkStart w:id="17" w:name="_Toc72401385"/>
      <w:r>
        <w:rPr>
          <w:rFonts w:hint="eastAsia" w:ascii="仿宋_GB2312" w:hAnsi="楷体" w:eastAsia="仿宋_GB2312"/>
          <w:bCs/>
          <w:kern w:val="0"/>
          <w:sz w:val="32"/>
          <w:szCs w:val="28"/>
        </w:rPr>
        <w:t>1.进一步提高绩效管理意识，加强绩效目标管理，绩效目标设置与部门职责职能和预算、重点工作任务紧密结合，指标设置应对应年度履职的重点项目任务细化、量化，增强可考核性；加强项目决策过程科学、规范性，提高项目资金测算的合理性；加强项目预算评审，严格审核项目资金的测算依据和标准，提高项目预算编制科学性。</w:t>
      </w:r>
    </w:p>
    <w:p>
      <w:pPr>
        <w:ind w:firstLine="640" w:firstLineChars="200"/>
        <w:rPr>
          <w:rFonts w:ascii="仿宋_GB2312" w:hAnsi="楷体" w:eastAsia="仿宋_GB2312"/>
          <w:bCs/>
          <w:kern w:val="0"/>
          <w:sz w:val="32"/>
          <w:szCs w:val="28"/>
        </w:rPr>
      </w:pPr>
      <w:r>
        <w:rPr>
          <w:rFonts w:hint="eastAsia" w:ascii="仿宋_GB2312" w:hAnsi="楷体" w:eastAsia="仿宋_GB2312"/>
          <w:bCs/>
          <w:kern w:val="0"/>
          <w:sz w:val="32"/>
          <w:szCs w:val="28"/>
        </w:rPr>
        <w:t>2.健全完善项目实施方案。根据项目以前年度实施情况或预期计划，制定项目整体实施方案，发挥整体方案的指导意义。加强项目活动方案的完整性，按项目管理要求明确项目实施目的、内容、组织方式、组织机构和职责分工，以及管理控制措施和预期风险应对措施等，并逐步制定可替代方案，加强项目统筹和顶层设计。</w:t>
      </w:r>
    </w:p>
    <w:p>
      <w:pPr>
        <w:ind w:firstLine="640" w:firstLineChars="200"/>
        <w:rPr>
          <w:rFonts w:ascii="仿宋_GB2312" w:hAnsi="楷体" w:eastAsia="仿宋_GB2312"/>
          <w:bCs/>
          <w:kern w:val="0"/>
          <w:sz w:val="32"/>
          <w:szCs w:val="28"/>
        </w:rPr>
      </w:pPr>
      <w:r>
        <w:rPr>
          <w:rFonts w:hint="eastAsia" w:ascii="仿宋_GB2312" w:hAnsi="楷体" w:eastAsia="仿宋_GB2312"/>
          <w:bCs/>
          <w:kern w:val="0"/>
          <w:sz w:val="32"/>
          <w:szCs w:val="28"/>
        </w:rPr>
        <w:t>3.注重部门整体和项目预算绩效过程资料的收集、分析，提高资料收集的及时性和完整性。</w:t>
      </w:r>
      <w:bookmarkEnd w:id="17"/>
      <w:r>
        <w:rPr>
          <w:rFonts w:hint="eastAsia" w:ascii="仿宋_GB2312" w:hAnsi="楷体" w:eastAsia="仿宋_GB2312"/>
          <w:bCs/>
          <w:kern w:val="0"/>
          <w:sz w:val="32"/>
          <w:szCs w:val="28"/>
        </w:rPr>
        <w:t>特别要注重对项目质量和效益的挖掘，用效果资料和数据来支撑项目效益。精准定位项目服务对象，选择适当的方式、方法开展服务对象满意度调查及分析，充分反映项目服务对象满意程度。</w:t>
      </w:r>
    </w:p>
    <w:p>
      <w:pPr>
        <w:spacing w:line="600" w:lineRule="exact"/>
        <w:ind w:firstLine="640" w:firstLineChars="200"/>
        <w:outlineLvl w:val="0"/>
        <w:rPr>
          <w:rFonts w:ascii="黑体" w:hAnsi="黑体" w:eastAsia="黑体" w:cs="宋体"/>
          <w:color w:val="000000"/>
          <w:kern w:val="0"/>
          <w:sz w:val="32"/>
          <w:szCs w:val="32"/>
        </w:rPr>
      </w:pPr>
      <w:bookmarkStart w:id="18" w:name="_Toc492"/>
      <w:r>
        <w:rPr>
          <w:rFonts w:hint="eastAsia" w:ascii="黑体" w:hAnsi="黑体" w:eastAsia="黑体" w:cs="宋体"/>
          <w:color w:val="000000"/>
          <w:kern w:val="0"/>
          <w:sz w:val="32"/>
          <w:szCs w:val="32"/>
        </w:rPr>
        <w:t>七、附件</w:t>
      </w:r>
      <w:bookmarkEnd w:id="18"/>
    </w:p>
    <w:p>
      <w:pPr>
        <w:ind w:firstLine="640" w:firstLineChars="200"/>
        <w:rPr>
          <w:rFonts w:ascii="仿宋_GB2312" w:hAnsi="楷体" w:eastAsia="仿宋_GB2312"/>
          <w:bCs/>
          <w:kern w:val="0"/>
          <w:sz w:val="32"/>
          <w:szCs w:val="28"/>
        </w:rPr>
      </w:pPr>
      <w:r>
        <w:rPr>
          <w:rFonts w:hint="eastAsia" w:ascii="仿宋_GB2312" w:hAnsi="楷体" w:eastAsia="仿宋_GB2312"/>
          <w:bCs/>
          <w:kern w:val="0"/>
          <w:sz w:val="32"/>
          <w:szCs w:val="28"/>
        </w:rPr>
        <w:t>2022年部门整体绩效评价指标体系评分表</w:t>
      </w:r>
    </w:p>
    <w:p>
      <w:pPr>
        <w:widowControl/>
        <w:jc w:val="center"/>
        <w:rPr>
          <w:rFonts w:ascii="方正小标宋简体" w:hAnsi="黑体" w:eastAsia="方正小标宋简体" w:cs="宋体"/>
          <w:color w:val="000000"/>
          <w:kern w:val="0"/>
          <w:sz w:val="44"/>
          <w:szCs w:val="44"/>
        </w:rPr>
      </w:pPr>
    </w:p>
    <w:p>
      <w:pPr>
        <w:pStyle w:val="2"/>
        <w:sectPr>
          <w:footerReference r:id="rId3" w:type="first"/>
          <w:pgSz w:w="11906" w:h="16838"/>
          <w:pgMar w:top="1440" w:right="1800" w:bottom="1440" w:left="1800" w:header="851" w:footer="992" w:gutter="0"/>
          <w:pgNumType w:start="1"/>
          <w:cols w:space="425" w:num="1"/>
          <w:titlePg/>
          <w:docGrid w:type="lines" w:linePitch="312" w:charSpace="0"/>
        </w:sectPr>
      </w:pPr>
    </w:p>
    <w:p>
      <w:pPr>
        <w:spacing w:line="20" w:lineRule="exact"/>
        <w:ind w:left="-21" w:leftChars="-10" w:right="42" w:rightChars="20"/>
      </w:pPr>
    </w:p>
    <w:p>
      <w:pPr>
        <w:rPr>
          <w:rFonts w:ascii="黑体" w:hAnsi="黑体" w:eastAsia="黑体"/>
          <w:sz w:val="32"/>
          <w:szCs w:val="32"/>
        </w:rPr>
      </w:pPr>
      <w:r>
        <w:rPr>
          <w:rFonts w:hint="eastAsia" w:ascii="黑体" w:hAnsi="黑体" w:eastAsia="黑体"/>
          <w:sz w:val="32"/>
          <w:szCs w:val="32"/>
        </w:rPr>
        <w:t>附件</w:t>
      </w:r>
    </w:p>
    <w:p>
      <w:pPr>
        <w:spacing w:line="600" w:lineRule="exact"/>
        <w:jc w:val="center"/>
        <w:rPr>
          <w:rFonts w:ascii="仿宋_GB2312" w:hAnsi="宋体" w:eastAsia="仿宋_GB2312" w:cs="宋体"/>
          <w:color w:val="000000"/>
          <w:kern w:val="0"/>
          <w:sz w:val="32"/>
          <w:szCs w:val="32"/>
        </w:rPr>
      </w:pPr>
      <w:r>
        <w:rPr>
          <w:rFonts w:hint="eastAsia" w:ascii="方正小标宋简体" w:hAnsi="黑体" w:eastAsia="方正小标宋简体" w:cs="宋体"/>
          <w:color w:val="000000"/>
          <w:kern w:val="0"/>
          <w:sz w:val="44"/>
          <w:szCs w:val="44"/>
        </w:rPr>
        <w:t>2022年部门整体绩效评价指标体系评分表</w:t>
      </w:r>
    </w:p>
    <w:tbl>
      <w:tblPr>
        <w:tblStyle w:val="19"/>
        <w:tblW w:w="14245" w:type="dxa"/>
        <w:tblInd w:w="0" w:type="dxa"/>
        <w:tblLayout w:type="fixed"/>
        <w:tblCellMar>
          <w:top w:w="0" w:type="dxa"/>
          <w:left w:w="108" w:type="dxa"/>
          <w:bottom w:w="0" w:type="dxa"/>
          <w:right w:w="108" w:type="dxa"/>
        </w:tblCellMar>
      </w:tblPr>
      <w:tblGrid>
        <w:gridCol w:w="957"/>
        <w:gridCol w:w="98"/>
        <w:gridCol w:w="740"/>
        <w:gridCol w:w="7"/>
        <w:gridCol w:w="482"/>
        <w:gridCol w:w="369"/>
        <w:gridCol w:w="11"/>
        <w:gridCol w:w="1162"/>
        <w:gridCol w:w="158"/>
        <w:gridCol w:w="1364"/>
        <w:gridCol w:w="36"/>
        <w:gridCol w:w="864"/>
        <w:gridCol w:w="293"/>
        <w:gridCol w:w="639"/>
        <w:gridCol w:w="338"/>
        <w:gridCol w:w="377"/>
        <w:gridCol w:w="276"/>
        <w:gridCol w:w="398"/>
        <w:gridCol w:w="35"/>
        <w:gridCol w:w="276"/>
        <w:gridCol w:w="721"/>
        <w:gridCol w:w="1411"/>
        <w:gridCol w:w="235"/>
        <w:gridCol w:w="1471"/>
        <w:gridCol w:w="20"/>
        <w:gridCol w:w="1507"/>
      </w:tblGrid>
      <w:tr>
        <w:tblPrEx>
          <w:tblLayout w:type="fixed"/>
          <w:tblCellMar>
            <w:top w:w="0" w:type="dxa"/>
            <w:left w:w="108" w:type="dxa"/>
            <w:bottom w:w="0" w:type="dxa"/>
            <w:right w:w="108" w:type="dxa"/>
          </w:tblCellMar>
        </w:tblPrEx>
        <w:trPr>
          <w:trHeight w:val="470" w:hRule="atLeast"/>
        </w:trPr>
        <w:tc>
          <w:tcPr>
            <w:tcW w:w="14245" w:type="dxa"/>
            <w:gridSpan w:val="26"/>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18"/>
                <w:szCs w:val="18"/>
              </w:rPr>
            </w:pPr>
            <w:r>
              <w:rPr>
                <w:rFonts w:hint="eastAsia" w:ascii="宋体" w:hAnsi="宋体" w:cs="宋体"/>
                <w:b/>
                <w:bCs/>
                <w:color w:val="000000"/>
                <w:kern w:val="0"/>
                <w:sz w:val="18"/>
                <w:szCs w:val="18"/>
              </w:rPr>
              <w:t>一、</w:t>
            </w:r>
            <w:r>
              <w:rPr>
                <w:rFonts w:hint="eastAsia" w:ascii="宋体" w:hAnsi="宋体" w:cs="宋体"/>
                <w:b/>
                <w:bCs/>
                <w:color w:val="000000"/>
                <w:kern w:val="0"/>
                <w:sz w:val="20"/>
                <w:szCs w:val="20"/>
              </w:rPr>
              <w:t>当年预算执行情况（20分）</w:t>
            </w:r>
          </w:p>
        </w:tc>
      </w:tr>
      <w:tr>
        <w:tblPrEx>
          <w:tblLayout w:type="fixed"/>
          <w:tblCellMar>
            <w:top w:w="0" w:type="dxa"/>
            <w:left w:w="108" w:type="dxa"/>
            <w:bottom w:w="0" w:type="dxa"/>
            <w:right w:w="108" w:type="dxa"/>
          </w:tblCellMar>
        </w:tblPrEx>
        <w:trPr>
          <w:trHeight w:val="660" w:hRule="atLeast"/>
        </w:trPr>
        <w:tc>
          <w:tcPr>
            <w:tcW w:w="105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一</w:t>
            </w:r>
            <w:r>
              <w:rPr>
                <w:rFonts w:ascii="宋体" w:hAnsi="宋体" w:cs="宋体"/>
                <w:b/>
                <w:bCs/>
                <w:color w:val="000000"/>
                <w:kern w:val="0"/>
                <w:sz w:val="20"/>
                <w:szCs w:val="20"/>
              </w:rPr>
              <w:t>级指标</w:t>
            </w:r>
            <w:r>
              <w:rPr>
                <w:rFonts w:hint="eastAsia" w:ascii="宋体" w:hAnsi="宋体" w:cs="宋体"/>
                <w:b/>
                <w:bCs/>
                <w:color w:val="000000"/>
                <w:kern w:val="0"/>
                <w:sz w:val="20"/>
                <w:szCs w:val="20"/>
              </w:rPr>
              <w:t>　</w:t>
            </w:r>
          </w:p>
        </w:tc>
        <w:tc>
          <w:tcPr>
            <w:tcW w:w="122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二</w:t>
            </w:r>
            <w:r>
              <w:rPr>
                <w:rFonts w:ascii="宋体" w:hAnsi="宋体" w:cs="宋体"/>
                <w:b/>
                <w:bCs/>
                <w:color w:val="000000"/>
                <w:kern w:val="0"/>
                <w:sz w:val="20"/>
                <w:szCs w:val="20"/>
              </w:rPr>
              <w:t>级指标</w:t>
            </w:r>
            <w:r>
              <w:rPr>
                <w:rFonts w:hint="eastAsia" w:ascii="宋体" w:hAnsi="宋体" w:cs="宋体"/>
                <w:b/>
                <w:bCs/>
                <w:color w:val="000000"/>
                <w:kern w:val="0"/>
                <w:sz w:val="20"/>
                <w:szCs w:val="20"/>
              </w:rPr>
              <w:t>　</w:t>
            </w:r>
          </w:p>
        </w:tc>
        <w:tc>
          <w:tcPr>
            <w:tcW w:w="154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预算数（万元）</w:t>
            </w:r>
          </w:p>
        </w:tc>
        <w:tc>
          <w:tcPr>
            <w:tcW w:w="155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执行数（万元）</w:t>
            </w:r>
          </w:p>
        </w:tc>
        <w:tc>
          <w:tcPr>
            <w:tcW w:w="115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预算执行率</w:t>
            </w:r>
          </w:p>
        </w:tc>
        <w:tc>
          <w:tcPr>
            <w:tcW w:w="97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分值</w:t>
            </w:r>
          </w:p>
        </w:tc>
        <w:tc>
          <w:tcPr>
            <w:tcW w:w="105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得分</w:t>
            </w:r>
          </w:p>
        </w:tc>
        <w:tc>
          <w:tcPr>
            <w:tcW w:w="2678"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指标解释</w:t>
            </w:r>
          </w:p>
        </w:tc>
        <w:tc>
          <w:tcPr>
            <w:tcW w:w="2998"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评分标准</w:t>
            </w:r>
          </w:p>
        </w:tc>
      </w:tr>
      <w:tr>
        <w:tblPrEx>
          <w:tblLayout w:type="fixed"/>
          <w:tblCellMar>
            <w:top w:w="0" w:type="dxa"/>
            <w:left w:w="108" w:type="dxa"/>
            <w:bottom w:w="0" w:type="dxa"/>
            <w:right w:w="108" w:type="dxa"/>
          </w:tblCellMar>
        </w:tblPrEx>
        <w:trPr>
          <w:trHeight w:val="1361" w:hRule="atLeast"/>
        </w:trPr>
        <w:tc>
          <w:tcPr>
            <w:tcW w:w="1055"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当年预算执行情况（20）</w:t>
            </w:r>
          </w:p>
        </w:tc>
        <w:tc>
          <w:tcPr>
            <w:tcW w:w="122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资金总体</w:t>
            </w:r>
          </w:p>
        </w:tc>
        <w:tc>
          <w:tcPr>
            <w:tcW w:w="154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10,186.58</w:t>
            </w:r>
          </w:p>
        </w:tc>
        <w:tc>
          <w:tcPr>
            <w:tcW w:w="155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9,600.64</w:t>
            </w:r>
          </w:p>
        </w:tc>
        <w:tc>
          <w:tcPr>
            <w:tcW w:w="115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94.25%　</w:t>
            </w:r>
          </w:p>
        </w:tc>
        <w:tc>
          <w:tcPr>
            <w:tcW w:w="97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1051"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18.85　</w:t>
            </w:r>
          </w:p>
        </w:tc>
        <w:tc>
          <w:tcPr>
            <w:tcW w:w="2678" w:type="dxa"/>
            <w:gridSpan w:val="5"/>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部门全年执行数与全年预算数的比率。资金总体=基本支出+项目支出+其他</w:t>
            </w:r>
          </w:p>
        </w:tc>
        <w:tc>
          <w:tcPr>
            <w:tcW w:w="2998" w:type="dxa"/>
            <w:gridSpan w:val="3"/>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①得分一档最高不能超过该指标分值上限（20分）。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②该指标若为正向指标，则得分计算方法应用全年实际值（B）/年度指标值（A）*该指标分值；若定量指标为反向指标，则得分计算方法应用年度指标值（A）/全年实际值（B）*该指标分值。若年初指标值设定偏低，则得分计算方法应用（全年实际值（B）—年度指标值（A））/年度指标值（A）*100%。若计算结果在200%-300%（含200%）区间，则按照该指标分值的10%扣分；计算结果在300%-500%（含300%）区间，则按照该指标分值的20%扣分；计算结果高于500%（含500%），则按照该指标分值的30%扣分。</w:t>
            </w:r>
          </w:p>
        </w:tc>
      </w:tr>
      <w:tr>
        <w:tblPrEx>
          <w:tblLayout w:type="fixed"/>
          <w:tblCellMar>
            <w:top w:w="0" w:type="dxa"/>
            <w:left w:w="108" w:type="dxa"/>
            <w:bottom w:w="0" w:type="dxa"/>
            <w:right w:w="108" w:type="dxa"/>
          </w:tblCellMar>
        </w:tblPrEx>
        <w:trPr>
          <w:trHeight w:val="1361" w:hRule="atLeast"/>
        </w:trPr>
        <w:tc>
          <w:tcPr>
            <w:tcW w:w="105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1229"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基本支出</w:t>
            </w:r>
          </w:p>
        </w:tc>
        <w:tc>
          <w:tcPr>
            <w:tcW w:w="154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6,317.70</w:t>
            </w:r>
          </w:p>
        </w:tc>
        <w:tc>
          <w:tcPr>
            <w:tcW w:w="1558"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5,918.75</w:t>
            </w:r>
          </w:p>
        </w:tc>
        <w:tc>
          <w:tcPr>
            <w:tcW w:w="115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7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051" w:type="dxa"/>
            <w:gridSpan w:val="3"/>
            <w:vMerge w:val="continue"/>
            <w:tcBorders>
              <w:top w:val="single" w:color="auto" w:sz="4" w:space="0"/>
              <w:left w:val="nil"/>
              <w:bottom w:val="single" w:color="auto" w:sz="4" w:space="0"/>
              <w:right w:val="nil"/>
            </w:tcBorders>
            <w:vAlign w:val="center"/>
          </w:tcPr>
          <w:p>
            <w:pPr>
              <w:widowControl/>
              <w:jc w:val="left"/>
              <w:rPr>
                <w:rFonts w:ascii="宋体" w:hAnsi="宋体" w:cs="宋体"/>
                <w:color w:val="000000"/>
                <w:kern w:val="0"/>
                <w:sz w:val="20"/>
                <w:szCs w:val="20"/>
              </w:rPr>
            </w:pPr>
          </w:p>
        </w:tc>
        <w:tc>
          <w:tcPr>
            <w:tcW w:w="2678"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998"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1361" w:hRule="atLeast"/>
        </w:trPr>
        <w:tc>
          <w:tcPr>
            <w:tcW w:w="105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1229" w:type="dxa"/>
            <w:gridSpan w:val="3"/>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项目支出</w:t>
            </w:r>
          </w:p>
        </w:tc>
        <w:tc>
          <w:tcPr>
            <w:tcW w:w="154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3,868.88</w:t>
            </w:r>
          </w:p>
        </w:tc>
        <w:tc>
          <w:tcPr>
            <w:tcW w:w="1558"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3,681.89</w:t>
            </w:r>
          </w:p>
        </w:tc>
        <w:tc>
          <w:tcPr>
            <w:tcW w:w="115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97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051" w:type="dxa"/>
            <w:gridSpan w:val="3"/>
            <w:vMerge w:val="continue"/>
            <w:tcBorders>
              <w:top w:val="single" w:color="auto" w:sz="4" w:space="0"/>
              <w:left w:val="nil"/>
              <w:bottom w:val="single" w:color="auto" w:sz="4" w:space="0"/>
              <w:right w:val="nil"/>
            </w:tcBorders>
            <w:vAlign w:val="center"/>
          </w:tcPr>
          <w:p>
            <w:pPr>
              <w:widowControl/>
              <w:jc w:val="left"/>
              <w:rPr>
                <w:rFonts w:ascii="宋体" w:hAnsi="宋体" w:cs="宋体"/>
                <w:color w:val="000000"/>
                <w:kern w:val="0"/>
                <w:sz w:val="20"/>
                <w:szCs w:val="20"/>
              </w:rPr>
            </w:pPr>
          </w:p>
        </w:tc>
        <w:tc>
          <w:tcPr>
            <w:tcW w:w="2678"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998"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1361" w:hRule="atLeast"/>
        </w:trPr>
        <w:tc>
          <w:tcPr>
            <w:tcW w:w="105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22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其他</w:t>
            </w:r>
          </w:p>
        </w:tc>
        <w:tc>
          <w:tcPr>
            <w:tcW w:w="1542"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0.00</w:t>
            </w:r>
          </w:p>
        </w:tc>
        <w:tc>
          <w:tcPr>
            <w:tcW w:w="1558"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0.00</w:t>
            </w:r>
          </w:p>
        </w:tc>
        <w:tc>
          <w:tcPr>
            <w:tcW w:w="115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97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051" w:type="dxa"/>
            <w:gridSpan w:val="3"/>
            <w:vMerge w:val="continue"/>
            <w:tcBorders>
              <w:top w:val="single" w:color="auto" w:sz="4" w:space="0"/>
              <w:left w:val="nil"/>
              <w:bottom w:val="single" w:color="auto" w:sz="4" w:space="0"/>
              <w:right w:val="nil"/>
            </w:tcBorders>
            <w:vAlign w:val="center"/>
          </w:tcPr>
          <w:p>
            <w:pPr>
              <w:widowControl/>
              <w:jc w:val="left"/>
              <w:rPr>
                <w:rFonts w:ascii="宋体" w:hAnsi="宋体" w:cs="宋体"/>
                <w:color w:val="000000"/>
                <w:kern w:val="0"/>
                <w:sz w:val="20"/>
                <w:szCs w:val="20"/>
              </w:rPr>
            </w:pPr>
          </w:p>
        </w:tc>
        <w:tc>
          <w:tcPr>
            <w:tcW w:w="2678"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998"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569" w:hRule="atLeast"/>
        </w:trPr>
        <w:tc>
          <w:tcPr>
            <w:tcW w:w="14245" w:type="dxa"/>
            <w:gridSpan w:val="26"/>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8"/>
                <w:szCs w:val="18"/>
              </w:rPr>
            </w:pPr>
            <w:r>
              <w:rPr>
                <w:rFonts w:hint="eastAsia" w:ascii="宋体" w:hAnsi="宋体" w:cs="宋体"/>
                <w:b/>
                <w:bCs/>
                <w:color w:val="000000"/>
                <w:kern w:val="0"/>
                <w:sz w:val="18"/>
                <w:szCs w:val="18"/>
              </w:rPr>
              <w:t>二</w:t>
            </w:r>
            <w:r>
              <w:rPr>
                <w:rFonts w:ascii="宋体" w:hAnsi="宋体" w:cs="宋体"/>
                <w:b/>
                <w:bCs/>
                <w:color w:val="000000"/>
                <w:kern w:val="0"/>
                <w:sz w:val="18"/>
                <w:szCs w:val="18"/>
              </w:rPr>
              <w:t>、</w:t>
            </w:r>
            <w:r>
              <w:rPr>
                <w:rFonts w:hint="eastAsia" w:ascii="宋体" w:hAnsi="宋体" w:cs="宋体"/>
                <w:b/>
                <w:bCs/>
                <w:color w:val="000000"/>
                <w:kern w:val="0"/>
                <w:sz w:val="20"/>
                <w:szCs w:val="20"/>
              </w:rPr>
              <w:t>整体绩效目标实现情况（60分）</w:t>
            </w:r>
          </w:p>
        </w:tc>
      </w:tr>
      <w:tr>
        <w:tblPrEx>
          <w:tblLayout w:type="fixed"/>
          <w:tblCellMar>
            <w:top w:w="0" w:type="dxa"/>
            <w:left w:w="108" w:type="dxa"/>
            <w:bottom w:w="0" w:type="dxa"/>
            <w:right w:w="108" w:type="dxa"/>
          </w:tblCellMar>
        </w:tblPrEx>
        <w:trPr>
          <w:trHeight w:val="499" w:hRule="atLeast"/>
        </w:trPr>
        <w:tc>
          <w:tcPr>
            <w:tcW w:w="9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一</w:t>
            </w:r>
            <w:r>
              <w:rPr>
                <w:rFonts w:ascii="宋体" w:hAnsi="宋体" w:cs="宋体"/>
                <w:b/>
                <w:bCs/>
                <w:color w:val="000000"/>
                <w:kern w:val="0"/>
                <w:sz w:val="20"/>
                <w:szCs w:val="20"/>
              </w:rPr>
              <w:t>级</w:t>
            </w:r>
          </w:p>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指标</w:t>
            </w:r>
          </w:p>
        </w:tc>
        <w:tc>
          <w:tcPr>
            <w:tcW w:w="845"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二</w:t>
            </w:r>
            <w:r>
              <w:rPr>
                <w:rFonts w:ascii="宋体" w:hAnsi="宋体" w:cs="宋体"/>
                <w:b/>
                <w:bCs/>
                <w:color w:val="000000"/>
                <w:kern w:val="0"/>
                <w:sz w:val="20"/>
                <w:szCs w:val="20"/>
              </w:rPr>
              <w:t>级</w:t>
            </w:r>
          </w:p>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指标</w:t>
            </w:r>
            <w:r>
              <w:rPr>
                <w:rFonts w:hint="eastAsia" w:ascii="宋体" w:hAnsi="宋体" w:cs="宋体"/>
                <w:b/>
                <w:bCs/>
                <w:color w:val="000000"/>
                <w:kern w:val="0"/>
                <w:sz w:val="20"/>
                <w:szCs w:val="20"/>
              </w:rPr>
              <w:t>　</w:t>
            </w:r>
          </w:p>
        </w:tc>
        <w:tc>
          <w:tcPr>
            <w:tcW w:w="85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三</w:t>
            </w:r>
            <w:r>
              <w:rPr>
                <w:rFonts w:ascii="宋体" w:hAnsi="宋体" w:cs="宋体"/>
                <w:b/>
                <w:bCs/>
                <w:color w:val="000000"/>
                <w:kern w:val="0"/>
                <w:sz w:val="20"/>
                <w:szCs w:val="20"/>
              </w:rPr>
              <w:t>级</w:t>
            </w:r>
          </w:p>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指标</w:t>
            </w:r>
            <w:r>
              <w:rPr>
                <w:rFonts w:hint="eastAsia" w:ascii="宋体" w:hAnsi="宋体" w:cs="宋体"/>
                <w:b/>
                <w:bCs/>
                <w:color w:val="000000"/>
                <w:kern w:val="0"/>
                <w:sz w:val="20"/>
                <w:szCs w:val="20"/>
              </w:rPr>
              <w:t>　</w:t>
            </w:r>
          </w:p>
        </w:tc>
        <w:tc>
          <w:tcPr>
            <w:tcW w:w="2695"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w:t>
            </w:r>
          </w:p>
        </w:tc>
        <w:tc>
          <w:tcPr>
            <w:tcW w:w="2823"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完成值</w:t>
            </w:r>
          </w:p>
        </w:tc>
        <w:tc>
          <w:tcPr>
            <w:tcW w:w="709"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分值</w:t>
            </w:r>
          </w:p>
        </w:tc>
        <w:tc>
          <w:tcPr>
            <w:tcW w:w="721" w:type="dxa"/>
            <w:tcBorders>
              <w:top w:val="single" w:color="auto" w:sz="4" w:space="0"/>
              <w:left w:val="nil"/>
              <w:bottom w:val="single" w:color="auto" w:sz="4" w:space="0"/>
              <w:right w:val="nil"/>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得分</w:t>
            </w:r>
          </w:p>
        </w:tc>
        <w:tc>
          <w:tcPr>
            <w:tcW w:w="3137"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w:t>
            </w:r>
            <w:r>
              <w:rPr>
                <w:rFonts w:ascii="宋体" w:hAnsi="宋体" w:cs="宋体"/>
                <w:b/>
                <w:bCs/>
                <w:color w:val="000000"/>
                <w:kern w:val="0"/>
                <w:sz w:val="18"/>
                <w:szCs w:val="18"/>
              </w:rPr>
              <w:t>解释</w:t>
            </w:r>
          </w:p>
        </w:tc>
        <w:tc>
          <w:tcPr>
            <w:tcW w:w="15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评</w:t>
            </w:r>
            <w:r>
              <w:rPr>
                <w:rFonts w:ascii="宋体" w:hAnsi="宋体" w:cs="宋体"/>
                <w:b/>
                <w:bCs/>
                <w:color w:val="000000"/>
                <w:kern w:val="0"/>
                <w:sz w:val="18"/>
                <w:szCs w:val="18"/>
              </w:rPr>
              <w:t>分标准</w:t>
            </w:r>
          </w:p>
        </w:tc>
      </w:tr>
      <w:tr>
        <w:tblPrEx>
          <w:tblLayout w:type="fixed"/>
          <w:tblCellMar>
            <w:top w:w="0" w:type="dxa"/>
            <w:left w:w="108" w:type="dxa"/>
            <w:bottom w:w="0" w:type="dxa"/>
            <w:right w:w="108" w:type="dxa"/>
          </w:tblCellMar>
        </w:tblPrEx>
        <w:trPr>
          <w:trHeight w:val="964" w:hRule="atLeast"/>
        </w:trPr>
        <w:tc>
          <w:tcPr>
            <w:tcW w:w="95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整体绩效目标实现情况</w:t>
            </w:r>
          </w:p>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845"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p>
            <w:pPr>
              <w:jc w:val="center"/>
              <w:rPr>
                <w:rFonts w:ascii="宋体" w:hAnsi="宋体" w:cs="宋体"/>
                <w:color w:val="000000"/>
                <w:kern w:val="0"/>
                <w:sz w:val="20"/>
                <w:szCs w:val="20"/>
              </w:rPr>
            </w:pPr>
            <w:r>
              <w:rPr>
                <w:rFonts w:hint="eastAsia" w:ascii="宋体" w:hAnsi="宋体" w:cs="宋体"/>
                <w:color w:val="000000"/>
                <w:kern w:val="0"/>
                <w:sz w:val="20"/>
                <w:szCs w:val="20"/>
              </w:rPr>
              <w:t>产出</w:t>
            </w:r>
          </w:p>
          <w:p>
            <w:pPr>
              <w:jc w:val="center"/>
              <w:rPr>
                <w:rFonts w:ascii="宋体" w:hAnsi="宋体" w:cs="宋体"/>
                <w:color w:val="000000"/>
                <w:kern w:val="0"/>
                <w:sz w:val="20"/>
                <w:szCs w:val="20"/>
              </w:rPr>
            </w:pPr>
            <w:r>
              <w:rPr>
                <w:rFonts w:hint="eastAsia" w:ascii="宋体" w:hAnsi="宋体" w:cs="宋体"/>
                <w:color w:val="000000"/>
                <w:kern w:val="0"/>
                <w:sz w:val="20"/>
                <w:szCs w:val="20"/>
              </w:rPr>
              <w:t>（30）</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color w:val="000000"/>
                <w:kern w:val="0"/>
                <w:sz w:val="20"/>
                <w:szCs w:val="20"/>
              </w:rPr>
            </w:pPr>
          </w:p>
          <w:p>
            <w:pPr>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数量</w:t>
            </w:r>
          </w:p>
          <w:p>
            <w:pPr>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指标</w:t>
            </w:r>
          </w:p>
        </w:tc>
        <w:tc>
          <w:tcPr>
            <w:tcW w:w="269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全年开展项目数量34个</w:t>
            </w:r>
          </w:p>
        </w:tc>
        <w:tc>
          <w:tcPr>
            <w:tcW w:w="2823"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34个</w:t>
            </w:r>
          </w:p>
        </w:tc>
        <w:tc>
          <w:tcPr>
            <w:tcW w:w="709"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p>
            <w:pPr>
              <w:jc w:val="center"/>
              <w:rPr>
                <w:rFonts w:ascii="宋体" w:hAnsi="宋体" w:cs="宋体"/>
                <w:color w:val="000000"/>
                <w:kern w:val="0"/>
                <w:sz w:val="20"/>
                <w:szCs w:val="20"/>
              </w:rPr>
            </w:pPr>
            <w:r>
              <w:rPr>
                <w:rFonts w:hint="eastAsia" w:ascii="宋体" w:hAnsi="宋体" w:cs="宋体"/>
                <w:color w:val="000000"/>
                <w:kern w:val="0"/>
                <w:sz w:val="20"/>
                <w:szCs w:val="20"/>
              </w:rPr>
              <w:t>30</w:t>
            </w:r>
          </w:p>
        </w:tc>
        <w:tc>
          <w:tcPr>
            <w:tcW w:w="721"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6　</w:t>
            </w:r>
          </w:p>
        </w:tc>
        <w:tc>
          <w:tcPr>
            <w:tcW w:w="3137"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b/>
                <w:bCs/>
                <w:color w:val="000000"/>
                <w:kern w:val="0"/>
                <w:sz w:val="18"/>
                <w:szCs w:val="18"/>
              </w:rPr>
              <w:t>产出数量</w:t>
            </w:r>
            <w:r>
              <w:rPr>
                <w:rFonts w:hint="eastAsia" w:ascii="宋体" w:hAnsi="宋体" w:cs="宋体"/>
                <w:color w:val="000000"/>
                <w:kern w:val="0"/>
                <w:sz w:val="18"/>
                <w:szCs w:val="18"/>
              </w:rPr>
              <w:t>：计划完成率=（实际完成工作数/计划工作数）×100%。实际完成工作数：一定时期（年度或规划期）内部门（单位）实际完成工作任务的数量。计划工作数：部门（单位）整体绩效目标确定的一定时期（年度或规划期）内预计完成工作任务的数量。</w:t>
            </w:r>
            <w:r>
              <w:rPr>
                <w:rFonts w:hint="eastAsia" w:ascii="宋体" w:hAnsi="宋体" w:cs="宋体"/>
                <w:b/>
                <w:bCs/>
                <w:color w:val="000000"/>
                <w:kern w:val="0"/>
                <w:sz w:val="18"/>
                <w:szCs w:val="18"/>
              </w:rPr>
              <w:t>产出质量</w:t>
            </w:r>
            <w:r>
              <w:rPr>
                <w:rFonts w:hint="eastAsia" w:ascii="宋体" w:hAnsi="宋体" w:cs="宋体"/>
                <w:color w:val="000000"/>
                <w:kern w:val="0"/>
                <w:sz w:val="18"/>
                <w:szCs w:val="18"/>
              </w:rPr>
              <w:t>：质量达标率=质量达标工作数/实际完成工作数×100%。质量达标工作数：一定时期（年度或规划期）内部门（单位）实际完成工作数中达到部门绩效目标要求（绩效标准值）的工作任务数量。</w:t>
            </w:r>
            <w:r>
              <w:rPr>
                <w:rFonts w:hint="eastAsia" w:ascii="宋体" w:hAnsi="宋体" w:cs="宋体"/>
                <w:b/>
                <w:bCs/>
                <w:color w:val="000000"/>
                <w:kern w:val="0"/>
                <w:sz w:val="18"/>
                <w:szCs w:val="18"/>
              </w:rPr>
              <w:t>产出进度：</w:t>
            </w:r>
            <w:r>
              <w:rPr>
                <w:rFonts w:hint="eastAsia" w:ascii="宋体" w:hAnsi="宋体" w:cs="宋体"/>
                <w:color w:val="000000"/>
                <w:kern w:val="0"/>
                <w:sz w:val="18"/>
                <w:szCs w:val="18"/>
              </w:rPr>
              <w:t>按时完成率=（按时完成工作数/实际完成工作数）×100%。按时完成工作数：部门（单位）按照整体绩效目标确定的时限实际完成的工作任务数量。</w:t>
            </w:r>
            <w:r>
              <w:rPr>
                <w:rFonts w:hint="eastAsia" w:ascii="宋体" w:hAnsi="宋体" w:cs="宋体"/>
                <w:b/>
                <w:bCs/>
                <w:color w:val="000000"/>
                <w:kern w:val="0"/>
                <w:sz w:val="18"/>
                <w:szCs w:val="18"/>
              </w:rPr>
              <w:t>产出成本</w:t>
            </w:r>
            <w:r>
              <w:rPr>
                <w:rFonts w:hint="eastAsia" w:ascii="宋体" w:hAnsi="宋体" w:cs="宋体"/>
                <w:color w:val="000000"/>
                <w:kern w:val="0"/>
                <w:sz w:val="18"/>
                <w:szCs w:val="18"/>
              </w:rPr>
              <w:t>：单位产出相对于上一年度的节约额；②单位产出相对于市场同类产出的节约额；③部门公用经费的控制情况。</w:t>
            </w:r>
          </w:p>
        </w:tc>
        <w:tc>
          <w:tcPr>
            <w:tcW w:w="1507"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部门根据本单位情况自行确定并选择产出指标，合理确定各项指标权重。可量化的指标按照比率*单项指标分值即为该指标得分。如果不能定量评价，则以定性的方式进行自评。</w:t>
            </w:r>
          </w:p>
        </w:tc>
      </w:tr>
      <w:tr>
        <w:tblPrEx>
          <w:tblLayout w:type="fixed"/>
          <w:tblCellMar>
            <w:top w:w="0" w:type="dxa"/>
            <w:left w:w="108" w:type="dxa"/>
            <w:bottom w:w="0" w:type="dxa"/>
            <w:right w:w="108" w:type="dxa"/>
          </w:tblCellMar>
        </w:tblPrEx>
        <w:trPr>
          <w:trHeight w:val="1173" w:hRule="atLeast"/>
        </w:trPr>
        <w:tc>
          <w:tcPr>
            <w:tcW w:w="95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845" w:type="dxa"/>
            <w:gridSpan w:val="3"/>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851" w:type="dxa"/>
            <w:gridSpan w:val="2"/>
            <w:tcBorders>
              <w:top w:val="single" w:color="auto" w:sz="4" w:space="0"/>
              <w:left w:val="nil"/>
              <w:right w:val="single" w:color="auto" w:sz="4" w:space="0"/>
            </w:tcBorders>
            <w:vAlign w:val="center"/>
          </w:tcPr>
          <w:p>
            <w:pPr>
              <w:widowControl/>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质量</w:t>
            </w:r>
          </w:p>
          <w:p>
            <w:pPr>
              <w:widowControl/>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指标</w:t>
            </w:r>
          </w:p>
        </w:tc>
        <w:tc>
          <w:tcPr>
            <w:tcW w:w="269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全年项目基本完成预期目标，项目绩效评价等级均为良以上，等级为优的项目≥5个；基本经费保证机构正常运转　</w:t>
            </w:r>
          </w:p>
        </w:tc>
        <w:tc>
          <w:tcPr>
            <w:tcW w:w="2823"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全年项目基本完成预期目标，项目绩效评价等级均为良以上，等级为优的项目≥14个；基本经费保证机构正常运转　</w:t>
            </w:r>
          </w:p>
        </w:tc>
        <w:tc>
          <w:tcPr>
            <w:tcW w:w="709" w:type="dxa"/>
            <w:gridSpan w:val="3"/>
            <w:vMerge w:val="continue"/>
            <w:tcBorders>
              <w:top w:val="single" w:color="auto" w:sz="4" w:space="0"/>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721" w:type="dxa"/>
            <w:tcBorders>
              <w:top w:val="single" w:color="auto" w:sz="4" w:space="0"/>
              <w:left w:val="nil"/>
              <w:bottom w:val="single" w:color="auto" w:sz="4" w:space="0"/>
              <w:right w:val="nil"/>
            </w:tcBorders>
            <w:vAlign w:val="center"/>
          </w:tcPr>
          <w:p>
            <w:pPr>
              <w:widowControl/>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6　</w:t>
            </w:r>
          </w:p>
        </w:tc>
        <w:tc>
          <w:tcPr>
            <w:tcW w:w="3137"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50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964" w:hRule="atLeast"/>
        </w:trPr>
        <w:tc>
          <w:tcPr>
            <w:tcW w:w="95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845" w:type="dxa"/>
            <w:gridSpan w:val="3"/>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进度</w:t>
            </w:r>
          </w:p>
          <w:p>
            <w:pPr>
              <w:widowControl/>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指标</w:t>
            </w:r>
          </w:p>
        </w:tc>
        <w:tc>
          <w:tcPr>
            <w:tcW w:w="2695" w:type="dxa"/>
            <w:gridSpan w:val="4"/>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color w:val="000000"/>
                <w:sz w:val="20"/>
                <w:szCs w:val="20"/>
              </w:rPr>
            </w:pPr>
            <w:r>
              <w:rPr>
                <w:rFonts w:hint="eastAsia" w:asciiTheme="majorEastAsia" w:hAnsiTheme="majorEastAsia" w:eastAsiaTheme="majorEastAsia"/>
                <w:color w:val="000000"/>
                <w:sz w:val="20"/>
                <w:szCs w:val="20"/>
              </w:rPr>
              <w:t>按时完成全年项目</w:t>
            </w:r>
          </w:p>
        </w:tc>
        <w:tc>
          <w:tcPr>
            <w:tcW w:w="2823"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2022年全年执行，个别项目结转</w:t>
            </w:r>
          </w:p>
        </w:tc>
        <w:tc>
          <w:tcPr>
            <w:tcW w:w="709" w:type="dxa"/>
            <w:gridSpan w:val="3"/>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721" w:type="dxa"/>
            <w:tcBorders>
              <w:top w:val="nil"/>
              <w:left w:val="nil"/>
              <w:bottom w:val="single" w:color="auto" w:sz="4" w:space="0"/>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　</w:t>
            </w:r>
          </w:p>
        </w:tc>
        <w:tc>
          <w:tcPr>
            <w:tcW w:w="3137"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50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964" w:hRule="atLeast"/>
        </w:trPr>
        <w:tc>
          <w:tcPr>
            <w:tcW w:w="9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845" w:type="dxa"/>
            <w:gridSpan w:val="3"/>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851" w:type="dxa"/>
            <w:gridSpan w:val="2"/>
            <w:tcBorders>
              <w:top w:val="single" w:color="auto" w:sz="4" w:space="0"/>
              <w:left w:val="nil"/>
              <w:bottom w:val="single" w:color="auto" w:sz="4" w:space="0"/>
              <w:right w:val="single" w:color="auto" w:sz="4" w:space="0"/>
            </w:tcBorders>
            <w:vAlign w:val="center"/>
          </w:tcPr>
          <w:p>
            <w:pPr>
              <w:widowControl/>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成本</w:t>
            </w:r>
          </w:p>
          <w:p>
            <w:pPr>
              <w:widowControl/>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指标</w:t>
            </w:r>
          </w:p>
        </w:tc>
        <w:tc>
          <w:tcPr>
            <w:tcW w:w="2695" w:type="dxa"/>
            <w:gridSpan w:val="4"/>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color w:val="000000"/>
                <w:sz w:val="20"/>
                <w:szCs w:val="20"/>
              </w:rPr>
            </w:pPr>
            <w:r>
              <w:rPr>
                <w:rFonts w:hint="eastAsia" w:asciiTheme="majorEastAsia" w:hAnsiTheme="majorEastAsia" w:eastAsiaTheme="majorEastAsia"/>
                <w:color w:val="000000"/>
                <w:sz w:val="20"/>
                <w:szCs w:val="20"/>
              </w:rPr>
              <w:t>部门整体预算控制在10,186.58万元以内</w:t>
            </w:r>
          </w:p>
        </w:tc>
        <w:tc>
          <w:tcPr>
            <w:tcW w:w="2823"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实际预算支出9,600.64万元　</w:t>
            </w:r>
          </w:p>
        </w:tc>
        <w:tc>
          <w:tcPr>
            <w:tcW w:w="709" w:type="dxa"/>
            <w:gridSpan w:val="3"/>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721" w:type="dxa"/>
            <w:tcBorders>
              <w:top w:val="nil"/>
              <w:left w:val="nil"/>
              <w:bottom w:val="single" w:color="auto" w:sz="4" w:space="0"/>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3137"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50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675" w:hRule="atLeast"/>
        </w:trPr>
        <w:tc>
          <w:tcPr>
            <w:tcW w:w="9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845"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效果（30）</w:t>
            </w:r>
          </w:p>
        </w:tc>
        <w:tc>
          <w:tcPr>
            <w:tcW w:w="851" w:type="dxa"/>
            <w:gridSpan w:val="2"/>
            <w:vMerge w:val="restart"/>
            <w:tcBorders>
              <w:top w:val="single" w:color="auto" w:sz="4" w:space="0"/>
              <w:left w:val="single" w:color="auto" w:sz="4" w:space="0"/>
              <w:right w:val="single" w:color="auto" w:sz="4" w:space="0"/>
            </w:tcBorders>
            <w:vAlign w:val="center"/>
          </w:tcPr>
          <w:p>
            <w:pPr>
              <w:widowControl/>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社会</w:t>
            </w:r>
          </w:p>
          <w:p>
            <w:pPr>
              <w:widowControl/>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效益</w:t>
            </w:r>
          </w:p>
        </w:tc>
        <w:tc>
          <w:tcPr>
            <w:tcW w:w="269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宣传男女平等基本国策</w:t>
            </w:r>
          </w:p>
        </w:tc>
        <w:tc>
          <w:tcPr>
            <w:tcW w:w="2823"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达到预期目标　</w:t>
            </w:r>
          </w:p>
        </w:tc>
        <w:tc>
          <w:tcPr>
            <w:tcW w:w="709"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w:t>
            </w:r>
          </w:p>
        </w:tc>
        <w:tc>
          <w:tcPr>
            <w:tcW w:w="721"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3</w:t>
            </w:r>
          </w:p>
        </w:tc>
        <w:tc>
          <w:tcPr>
            <w:tcW w:w="3117"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b/>
                <w:bCs/>
                <w:color w:val="000000"/>
                <w:kern w:val="0"/>
                <w:sz w:val="18"/>
                <w:szCs w:val="18"/>
              </w:rPr>
              <w:t>经济效益</w:t>
            </w:r>
            <w:r>
              <w:rPr>
                <w:rFonts w:hint="eastAsia" w:ascii="宋体" w:hAnsi="宋体" w:cs="宋体"/>
                <w:color w:val="000000"/>
                <w:kern w:val="0"/>
                <w:sz w:val="18"/>
                <w:szCs w:val="18"/>
              </w:rPr>
              <w:t>：部门（单位）履行职责对经济发展所带来的直接或间接影响。</w:t>
            </w:r>
            <w:r>
              <w:rPr>
                <w:rFonts w:hint="eastAsia" w:ascii="宋体" w:hAnsi="宋体" w:cs="宋体"/>
                <w:b/>
                <w:bCs/>
                <w:color w:val="000000"/>
                <w:kern w:val="0"/>
                <w:sz w:val="18"/>
                <w:szCs w:val="18"/>
              </w:rPr>
              <w:t>社会效益</w:t>
            </w:r>
            <w:r>
              <w:rPr>
                <w:rFonts w:hint="eastAsia" w:ascii="宋体" w:hAnsi="宋体" w:cs="宋体"/>
                <w:color w:val="000000"/>
                <w:kern w:val="0"/>
                <w:sz w:val="18"/>
                <w:szCs w:val="18"/>
              </w:rPr>
              <w:t>：部门（单位）履行职责对社会发展所带来的直接或间接影响。</w:t>
            </w:r>
            <w:r>
              <w:rPr>
                <w:rFonts w:hint="eastAsia" w:ascii="宋体" w:hAnsi="宋体" w:cs="宋体"/>
                <w:b/>
                <w:bCs/>
                <w:color w:val="000000"/>
                <w:kern w:val="0"/>
                <w:sz w:val="18"/>
                <w:szCs w:val="18"/>
              </w:rPr>
              <w:t>环境效益</w:t>
            </w:r>
            <w:r>
              <w:rPr>
                <w:rFonts w:hint="eastAsia" w:ascii="宋体" w:hAnsi="宋体" w:cs="宋体"/>
                <w:color w:val="000000"/>
                <w:kern w:val="0"/>
                <w:sz w:val="18"/>
                <w:szCs w:val="18"/>
              </w:rPr>
              <w:t>：部门（单位）履行职责对环境所带来的直接或间接影响。</w:t>
            </w:r>
            <w:r>
              <w:rPr>
                <w:rFonts w:hint="eastAsia" w:ascii="宋体" w:hAnsi="宋体" w:cs="宋体"/>
                <w:b/>
                <w:bCs/>
                <w:color w:val="000000"/>
                <w:kern w:val="0"/>
                <w:sz w:val="18"/>
                <w:szCs w:val="18"/>
              </w:rPr>
              <w:t>可持续性影响：</w:t>
            </w:r>
            <w:r>
              <w:rPr>
                <w:rFonts w:hint="eastAsia" w:ascii="宋体" w:hAnsi="宋体" w:cs="宋体"/>
                <w:color w:val="000000"/>
                <w:kern w:val="0"/>
                <w:sz w:val="18"/>
                <w:szCs w:val="18"/>
              </w:rPr>
              <w:t>部门绩效目标实现的长效机制建设情况，部门工作效率提升措施的创新。</w:t>
            </w:r>
            <w:r>
              <w:rPr>
                <w:rFonts w:hint="eastAsia" w:ascii="宋体" w:hAnsi="宋体" w:cs="宋体"/>
                <w:b/>
                <w:bCs/>
                <w:color w:val="000000"/>
                <w:kern w:val="0"/>
                <w:sz w:val="18"/>
                <w:szCs w:val="18"/>
              </w:rPr>
              <w:t>服务对象满意度</w:t>
            </w:r>
            <w:r>
              <w:rPr>
                <w:rFonts w:hint="eastAsia" w:ascii="宋体" w:hAnsi="宋体" w:cs="宋体"/>
                <w:color w:val="000000"/>
                <w:kern w:val="0"/>
                <w:sz w:val="18"/>
                <w:szCs w:val="18"/>
              </w:rPr>
              <w:t>：部门（单位）的服务对象对部门履职效果的满意程度。</w:t>
            </w:r>
          </w:p>
        </w:tc>
        <w:tc>
          <w:tcPr>
            <w:tcW w:w="152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部门根据实际情况选择指标进行填写，并将其细化为相应的个性化指标。对于效益类指标可从受益对象瞄准度、受益广度和受益深度上进行设计分析。</w:t>
            </w:r>
          </w:p>
        </w:tc>
      </w:tr>
      <w:tr>
        <w:tblPrEx>
          <w:tblLayout w:type="fixed"/>
          <w:tblCellMar>
            <w:top w:w="0" w:type="dxa"/>
            <w:left w:w="108" w:type="dxa"/>
            <w:bottom w:w="0" w:type="dxa"/>
            <w:right w:w="108" w:type="dxa"/>
          </w:tblCellMar>
        </w:tblPrEx>
        <w:trPr>
          <w:trHeight w:val="630" w:hRule="atLeast"/>
        </w:trPr>
        <w:tc>
          <w:tcPr>
            <w:tcW w:w="95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84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851" w:type="dxa"/>
            <w:gridSpan w:val="2"/>
            <w:vMerge w:val="continue"/>
            <w:tcBorders>
              <w:left w:val="single" w:color="auto" w:sz="4" w:space="0"/>
              <w:right w:val="single" w:color="auto" w:sz="4" w:space="0"/>
            </w:tcBorders>
            <w:vAlign w:val="center"/>
          </w:tcPr>
          <w:p>
            <w:pPr>
              <w:widowControl/>
              <w:jc w:val="center"/>
              <w:rPr>
                <w:rFonts w:cs="宋体" w:asciiTheme="majorEastAsia" w:hAnsiTheme="majorEastAsia" w:eastAsiaTheme="majorEastAsia"/>
                <w:color w:val="000000"/>
                <w:kern w:val="0"/>
                <w:sz w:val="20"/>
                <w:szCs w:val="20"/>
              </w:rPr>
            </w:pPr>
          </w:p>
        </w:tc>
        <w:tc>
          <w:tcPr>
            <w:tcW w:w="2695" w:type="dxa"/>
            <w:gridSpan w:val="4"/>
            <w:tcBorders>
              <w:top w:val="single" w:color="auto" w:sz="4" w:space="0"/>
              <w:left w:val="nil"/>
              <w:bottom w:val="single" w:color="auto" w:sz="4" w:space="0"/>
              <w:right w:val="single" w:color="auto" w:sz="4" w:space="0"/>
            </w:tcBorders>
            <w:vAlign w:val="center"/>
          </w:tcPr>
          <w:p>
            <w:pPr>
              <w:widowControl/>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基层组织建设力度增强</w:t>
            </w:r>
          </w:p>
        </w:tc>
        <w:tc>
          <w:tcPr>
            <w:tcW w:w="2823" w:type="dxa"/>
            <w:gridSpan w:val="7"/>
            <w:tcBorders>
              <w:top w:val="single" w:color="auto" w:sz="4" w:space="0"/>
              <w:left w:val="nil"/>
              <w:bottom w:val="single" w:color="auto" w:sz="4" w:space="0"/>
              <w:right w:val="single" w:color="auto" w:sz="4" w:space="0"/>
            </w:tcBorders>
            <w:vAlign w:val="center"/>
          </w:tcPr>
          <w:p>
            <w:pPr>
              <w:widowControl/>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进一步增强</w:t>
            </w:r>
          </w:p>
        </w:tc>
        <w:tc>
          <w:tcPr>
            <w:tcW w:w="7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721" w:type="dxa"/>
            <w:tcBorders>
              <w:top w:val="single" w:color="auto" w:sz="4" w:space="0"/>
              <w:left w:val="nil"/>
              <w:bottom w:val="single" w:color="auto" w:sz="4" w:space="0"/>
              <w:right w:val="nil"/>
            </w:tcBorders>
            <w:vAlign w:val="center"/>
          </w:tcPr>
          <w:p>
            <w:pPr>
              <w:jc w:val="cente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3</w:t>
            </w:r>
          </w:p>
        </w:tc>
        <w:tc>
          <w:tcPr>
            <w:tcW w:w="3117"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52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1428" w:hRule="atLeast"/>
        </w:trPr>
        <w:tc>
          <w:tcPr>
            <w:tcW w:w="95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84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851" w:type="dxa"/>
            <w:gridSpan w:val="2"/>
            <w:vMerge w:val="continue"/>
            <w:tcBorders>
              <w:left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2695" w:type="dxa"/>
            <w:gridSpan w:val="4"/>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eastAsiaTheme="minorEastAsia"/>
                <w:color w:val="000000"/>
                <w:sz w:val="18"/>
                <w:szCs w:val="18"/>
              </w:rPr>
            </w:pPr>
            <w:r>
              <w:rPr>
                <w:rFonts w:hint="eastAsia" w:cs="宋体" w:asciiTheme="majorEastAsia" w:hAnsiTheme="majorEastAsia" w:eastAsiaTheme="majorEastAsia"/>
                <w:color w:val="000000"/>
                <w:kern w:val="0"/>
                <w:sz w:val="20"/>
                <w:szCs w:val="20"/>
              </w:rPr>
              <w:t>通过妇女、儿童规划的编制实施督导，推进妇女儿童在教育、健康、社会保障等领域得到全面发展</w:t>
            </w:r>
          </w:p>
        </w:tc>
        <w:tc>
          <w:tcPr>
            <w:tcW w:w="2823" w:type="dxa"/>
            <w:gridSpan w:val="7"/>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eastAsiaTheme="minorEastAsia"/>
                <w:color w:val="000000"/>
                <w:sz w:val="18"/>
                <w:szCs w:val="18"/>
              </w:rPr>
            </w:pPr>
            <w:r>
              <w:rPr>
                <w:rFonts w:hint="eastAsia" w:cs="宋体" w:asciiTheme="majorEastAsia" w:hAnsiTheme="majorEastAsia" w:eastAsiaTheme="majorEastAsia"/>
                <w:color w:val="000000"/>
                <w:kern w:val="0"/>
                <w:sz w:val="20"/>
                <w:szCs w:val="20"/>
              </w:rPr>
              <w:t>达到预期目标</w:t>
            </w:r>
          </w:p>
        </w:tc>
        <w:tc>
          <w:tcPr>
            <w:tcW w:w="7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721" w:type="dxa"/>
            <w:tcBorders>
              <w:top w:val="single" w:color="auto" w:sz="4" w:space="0"/>
              <w:left w:val="nil"/>
              <w:bottom w:val="single" w:color="auto" w:sz="4" w:space="0"/>
              <w:right w:val="nil"/>
            </w:tcBorders>
            <w:vAlign w:val="center"/>
          </w:tcPr>
          <w:p>
            <w:pPr>
              <w:jc w:val="cente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2</w:t>
            </w:r>
          </w:p>
        </w:tc>
        <w:tc>
          <w:tcPr>
            <w:tcW w:w="3117"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52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750" w:hRule="atLeast"/>
        </w:trPr>
        <w:tc>
          <w:tcPr>
            <w:tcW w:w="95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84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851" w:type="dxa"/>
            <w:gridSpan w:val="2"/>
            <w:vMerge w:val="continue"/>
            <w:tcBorders>
              <w:left w:val="single" w:color="auto" w:sz="4" w:space="0"/>
              <w:right w:val="single" w:color="auto" w:sz="4" w:space="0"/>
            </w:tcBorders>
            <w:vAlign w:val="center"/>
          </w:tcPr>
          <w:p>
            <w:pPr>
              <w:widowControl/>
              <w:jc w:val="center"/>
              <w:rPr>
                <w:rFonts w:cs="宋体" w:asciiTheme="majorEastAsia" w:hAnsiTheme="majorEastAsia" w:eastAsiaTheme="majorEastAsia"/>
                <w:color w:val="000000"/>
                <w:kern w:val="0"/>
                <w:sz w:val="20"/>
                <w:szCs w:val="20"/>
              </w:rPr>
            </w:pPr>
          </w:p>
        </w:tc>
        <w:tc>
          <w:tcPr>
            <w:tcW w:w="2695" w:type="dxa"/>
            <w:gridSpan w:val="4"/>
            <w:tcBorders>
              <w:top w:val="single" w:color="auto" w:sz="4" w:space="0"/>
              <w:left w:val="nil"/>
              <w:bottom w:val="single" w:color="auto" w:sz="4" w:space="0"/>
              <w:right w:val="single" w:color="auto" w:sz="4" w:space="0"/>
            </w:tcBorders>
            <w:vAlign w:val="center"/>
          </w:tcPr>
          <w:p>
            <w:pPr>
              <w:widowControl/>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优秀女性典型示范引领作用</w:t>
            </w:r>
          </w:p>
        </w:tc>
        <w:tc>
          <w:tcPr>
            <w:tcW w:w="2823" w:type="dxa"/>
            <w:gridSpan w:val="7"/>
            <w:tcBorders>
              <w:top w:val="single" w:color="auto" w:sz="4" w:space="0"/>
              <w:left w:val="nil"/>
              <w:bottom w:val="single" w:color="auto" w:sz="4" w:space="0"/>
              <w:right w:val="single" w:color="auto" w:sz="4" w:space="0"/>
            </w:tcBorders>
            <w:vAlign w:val="center"/>
          </w:tcPr>
          <w:p>
            <w:pPr>
              <w:widowControl/>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起到示范引领作用</w:t>
            </w:r>
          </w:p>
        </w:tc>
        <w:tc>
          <w:tcPr>
            <w:tcW w:w="7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721" w:type="dxa"/>
            <w:tcBorders>
              <w:top w:val="single" w:color="auto" w:sz="4" w:space="0"/>
              <w:left w:val="nil"/>
              <w:bottom w:val="single" w:color="auto" w:sz="4" w:space="0"/>
              <w:right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2</w:t>
            </w:r>
          </w:p>
        </w:tc>
        <w:tc>
          <w:tcPr>
            <w:tcW w:w="3117"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52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840" w:hRule="atLeast"/>
        </w:trPr>
        <w:tc>
          <w:tcPr>
            <w:tcW w:w="95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84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851" w:type="dxa"/>
            <w:gridSpan w:val="2"/>
            <w:vMerge w:val="continue"/>
            <w:tcBorders>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color w:val="000000"/>
                <w:kern w:val="0"/>
                <w:sz w:val="20"/>
                <w:szCs w:val="20"/>
              </w:rPr>
            </w:pPr>
          </w:p>
        </w:tc>
        <w:tc>
          <w:tcPr>
            <w:tcW w:w="2695" w:type="dxa"/>
            <w:gridSpan w:val="4"/>
            <w:tcBorders>
              <w:top w:val="single" w:color="auto" w:sz="4" w:space="0"/>
              <w:left w:val="nil"/>
              <w:bottom w:val="single" w:color="auto" w:sz="4" w:space="0"/>
              <w:right w:val="single" w:color="auto" w:sz="4" w:space="0"/>
            </w:tcBorders>
            <w:vAlign w:val="center"/>
          </w:tcPr>
          <w:p>
            <w:pPr>
              <w:widowControl/>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对口援建、京津冀地区妇女创业就业能力</w:t>
            </w:r>
          </w:p>
        </w:tc>
        <w:tc>
          <w:tcPr>
            <w:tcW w:w="2823" w:type="dxa"/>
            <w:gridSpan w:val="7"/>
            <w:tcBorders>
              <w:top w:val="single" w:color="auto" w:sz="4" w:space="0"/>
              <w:left w:val="nil"/>
              <w:bottom w:val="single" w:color="auto" w:sz="4" w:space="0"/>
              <w:right w:val="single" w:color="auto" w:sz="4" w:space="0"/>
            </w:tcBorders>
            <w:vAlign w:val="center"/>
          </w:tcPr>
          <w:p>
            <w:pPr>
              <w:widowControl/>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得到提升</w:t>
            </w:r>
          </w:p>
        </w:tc>
        <w:tc>
          <w:tcPr>
            <w:tcW w:w="7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721" w:type="dxa"/>
            <w:tcBorders>
              <w:top w:val="single" w:color="auto" w:sz="4" w:space="0"/>
              <w:left w:val="nil"/>
              <w:bottom w:val="single" w:color="auto" w:sz="4" w:space="0"/>
              <w:right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1.5</w:t>
            </w:r>
          </w:p>
        </w:tc>
        <w:tc>
          <w:tcPr>
            <w:tcW w:w="3117"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52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630" w:hRule="atLeast"/>
        </w:trPr>
        <w:tc>
          <w:tcPr>
            <w:tcW w:w="95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84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851" w:type="dxa"/>
            <w:gridSpan w:val="2"/>
            <w:vMerge w:val="restart"/>
            <w:tcBorders>
              <w:left w:val="nil"/>
              <w:right w:val="single" w:color="auto" w:sz="4" w:space="0"/>
            </w:tcBorders>
            <w:vAlign w:val="center"/>
          </w:tcPr>
          <w:p>
            <w:pPr>
              <w:widowControl/>
              <w:jc w:val="center"/>
              <w:rPr>
                <w:rFonts w:cs="宋体" w:asciiTheme="majorEastAsia" w:hAnsiTheme="majorEastAsia" w:eastAsiaTheme="majorEastAsia"/>
                <w:color w:val="000000"/>
                <w:kern w:val="0"/>
                <w:sz w:val="20"/>
                <w:szCs w:val="20"/>
              </w:rPr>
            </w:pPr>
            <w:r>
              <w:rPr>
                <w:rFonts w:cs="宋体" w:asciiTheme="majorEastAsia" w:hAnsiTheme="majorEastAsia" w:eastAsiaTheme="majorEastAsia"/>
                <w:color w:val="000000"/>
                <w:kern w:val="0"/>
                <w:sz w:val="20"/>
                <w:szCs w:val="20"/>
              </w:rPr>
              <w:t>可持续影响</w:t>
            </w:r>
          </w:p>
        </w:tc>
        <w:tc>
          <w:tcPr>
            <w:tcW w:w="2695" w:type="dxa"/>
            <w:gridSpan w:val="4"/>
            <w:tcBorders>
              <w:top w:val="single" w:color="auto" w:sz="4" w:space="0"/>
              <w:left w:val="nil"/>
              <w:bottom w:val="single" w:color="auto" w:sz="4" w:space="0"/>
              <w:right w:val="single" w:color="auto" w:sz="4" w:space="0"/>
            </w:tcBorders>
            <w:vAlign w:val="center"/>
          </w:tcPr>
          <w:p>
            <w:pPr>
              <w:widowControl/>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巾帼志愿服务影响力增大</w:t>
            </w:r>
          </w:p>
        </w:tc>
        <w:tc>
          <w:tcPr>
            <w:tcW w:w="2823" w:type="dxa"/>
            <w:gridSpan w:val="7"/>
            <w:tcBorders>
              <w:top w:val="single" w:color="auto" w:sz="4" w:space="0"/>
              <w:left w:val="nil"/>
              <w:bottom w:val="single" w:color="auto" w:sz="4" w:space="0"/>
              <w:right w:val="single" w:color="auto" w:sz="4" w:space="0"/>
            </w:tcBorders>
            <w:vAlign w:val="center"/>
          </w:tcPr>
          <w:p>
            <w:pPr>
              <w:widowControl/>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进一步增大影响力</w:t>
            </w:r>
          </w:p>
        </w:tc>
        <w:tc>
          <w:tcPr>
            <w:tcW w:w="7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721" w:type="dxa"/>
            <w:tcBorders>
              <w:top w:val="single" w:color="auto" w:sz="4" w:space="0"/>
              <w:left w:val="nil"/>
              <w:bottom w:val="single" w:color="auto" w:sz="4" w:space="0"/>
              <w:right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3</w:t>
            </w:r>
          </w:p>
        </w:tc>
        <w:tc>
          <w:tcPr>
            <w:tcW w:w="3117"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52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630" w:hRule="atLeast"/>
        </w:trPr>
        <w:tc>
          <w:tcPr>
            <w:tcW w:w="95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84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851" w:type="dxa"/>
            <w:gridSpan w:val="2"/>
            <w:vMerge w:val="continue"/>
            <w:tcBorders>
              <w:left w:val="nil"/>
              <w:right w:val="single" w:color="auto" w:sz="4" w:space="0"/>
            </w:tcBorders>
            <w:vAlign w:val="center"/>
          </w:tcPr>
          <w:p>
            <w:pPr>
              <w:widowControl/>
              <w:jc w:val="center"/>
              <w:rPr>
                <w:rFonts w:cs="宋体" w:asciiTheme="majorEastAsia" w:hAnsiTheme="majorEastAsia" w:eastAsiaTheme="majorEastAsia"/>
                <w:color w:val="000000"/>
                <w:kern w:val="0"/>
                <w:sz w:val="20"/>
                <w:szCs w:val="20"/>
              </w:rPr>
            </w:pPr>
          </w:p>
        </w:tc>
        <w:tc>
          <w:tcPr>
            <w:tcW w:w="2695" w:type="dxa"/>
            <w:gridSpan w:val="4"/>
            <w:tcBorders>
              <w:top w:val="single" w:color="auto" w:sz="4" w:space="0"/>
              <w:left w:val="nil"/>
              <w:bottom w:val="single" w:color="auto" w:sz="4" w:space="0"/>
              <w:right w:val="single" w:color="auto" w:sz="4" w:space="0"/>
            </w:tcBorders>
            <w:vAlign w:val="center"/>
          </w:tcPr>
          <w:p>
            <w:pPr>
              <w:widowControl/>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推进家庭支持服务方面</w:t>
            </w:r>
          </w:p>
        </w:tc>
        <w:tc>
          <w:tcPr>
            <w:tcW w:w="2823" w:type="dxa"/>
            <w:gridSpan w:val="7"/>
            <w:tcBorders>
              <w:top w:val="single" w:color="auto" w:sz="4" w:space="0"/>
              <w:left w:val="nil"/>
              <w:bottom w:val="single" w:color="auto" w:sz="4" w:space="0"/>
              <w:right w:val="single" w:color="auto" w:sz="4" w:space="0"/>
            </w:tcBorders>
            <w:vAlign w:val="center"/>
          </w:tcPr>
          <w:p>
            <w:pPr>
              <w:widowControl/>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基本达到预期目标</w:t>
            </w:r>
          </w:p>
        </w:tc>
        <w:tc>
          <w:tcPr>
            <w:tcW w:w="7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721" w:type="dxa"/>
            <w:tcBorders>
              <w:top w:val="single" w:color="auto" w:sz="4" w:space="0"/>
              <w:left w:val="nil"/>
              <w:bottom w:val="single" w:color="auto" w:sz="4" w:space="0"/>
              <w:right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3</w:t>
            </w:r>
          </w:p>
        </w:tc>
        <w:tc>
          <w:tcPr>
            <w:tcW w:w="3117"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52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630" w:hRule="atLeast"/>
        </w:trPr>
        <w:tc>
          <w:tcPr>
            <w:tcW w:w="95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84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851" w:type="dxa"/>
            <w:gridSpan w:val="2"/>
            <w:vMerge w:val="continue"/>
            <w:tcBorders>
              <w:left w:val="nil"/>
              <w:right w:val="single" w:color="auto" w:sz="4" w:space="0"/>
            </w:tcBorders>
            <w:vAlign w:val="center"/>
          </w:tcPr>
          <w:p>
            <w:pPr>
              <w:widowControl/>
              <w:jc w:val="center"/>
              <w:rPr>
                <w:rFonts w:cs="宋体" w:asciiTheme="majorEastAsia" w:hAnsiTheme="majorEastAsia" w:eastAsiaTheme="majorEastAsia"/>
                <w:color w:val="000000"/>
                <w:kern w:val="0"/>
                <w:sz w:val="20"/>
                <w:szCs w:val="20"/>
              </w:rPr>
            </w:pPr>
          </w:p>
        </w:tc>
        <w:tc>
          <w:tcPr>
            <w:tcW w:w="2695" w:type="dxa"/>
            <w:gridSpan w:val="4"/>
            <w:tcBorders>
              <w:top w:val="single" w:color="auto" w:sz="4" w:space="0"/>
              <w:left w:val="nil"/>
              <w:bottom w:val="single" w:color="auto" w:sz="4" w:space="0"/>
              <w:right w:val="single" w:color="auto" w:sz="4" w:space="0"/>
            </w:tcBorders>
            <w:vAlign w:val="center"/>
          </w:tcPr>
          <w:p>
            <w:pPr>
              <w:widowControl/>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家庭文明建设引领带动方面</w:t>
            </w:r>
          </w:p>
        </w:tc>
        <w:tc>
          <w:tcPr>
            <w:tcW w:w="2823" w:type="dxa"/>
            <w:gridSpan w:val="7"/>
            <w:tcBorders>
              <w:top w:val="single" w:color="auto" w:sz="4" w:space="0"/>
              <w:left w:val="nil"/>
              <w:bottom w:val="single" w:color="auto" w:sz="4" w:space="0"/>
              <w:right w:val="single" w:color="auto" w:sz="4" w:space="0"/>
            </w:tcBorders>
            <w:vAlign w:val="center"/>
          </w:tcPr>
          <w:p>
            <w:pPr>
              <w:widowControl/>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基本达到预期目标</w:t>
            </w:r>
          </w:p>
        </w:tc>
        <w:tc>
          <w:tcPr>
            <w:tcW w:w="7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721" w:type="dxa"/>
            <w:tcBorders>
              <w:top w:val="single" w:color="auto" w:sz="4" w:space="0"/>
              <w:left w:val="nil"/>
              <w:bottom w:val="single" w:color="auto" w:sz="4" w:space="0"/>
              <w:right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2.6</w:t>
            </w:r>
          </w:p>
        </w:tc>
        <w:tc>
          <w:tcPr>
            <w:tcW w:w="3117"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52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630" w:hRule="atLeast"/>
        </w:trPr>
        <w:tc>
          <w:tcPr>
            <w:tcW w:w="95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84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851" w:type="dxa"/>
            <w:gridSpan w:val="2"/>
            <w:vMerge w:val="continue"/>
            <w:tcBorders>
              <w:left w:val="nil"/>
              <w:bottom w:val="single" w:color="auto" w:sz="4" w:space="0"/>
              <w:right w:val="single" w:color="auto" w:sz="4" w:space="0"/>
            </w:tcBorders>
            <w:vAlign w:val="center"/>
          </w:tcPr>
          <w:p>
            <w:pPr>
              <w:widowControl/>
              <w:jc w:val="center"/>
              <w:rPr>
                <w:rFonts w:cs="宋体" w:asciiTheme="majorEastAsia" w:hAnsiTheme="majorEastAsia" w:eastAsiaTheme="majorEastAsia"/>
                <w:color w:val="000000"/>
                <w:kern w:val="0"/>
                <w:sz w:val="20"/>
                <w:szCs w:val="20"/>
              </w:rPr>
            </w:pPr>
          </w:p>
        </w:tc>
        <w:tc>
          <w:tcPr>
            <w:tcW w:w="2695" w:type="dxa"/>
            <w:gridSpan w:val="4"/>
            <w:tcBorders>
              <w:top w:val="single" w:color="auto" w:sz="4" w:space="0"/>
              <w:left w:val="nil"/>
              <w:bottom w:val="single" w:color="auto" w:sz="4" w:space="0"/>
              <w:right w:val="single" w:color="auto" w:sz="4" w:space="0"/>
            </w:tcBorders>
            <w:vAlign w:val="center"/>
          </w:tcPr>
          <w:p>
            <w:pPr>
              <w:widowControl/>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家庭教育指导服务方面</w:t>
            </w:r>
          </w:p>
        </w:tc>
        <w:tc>
          <w:tcPr>
            <w:tcW w:w="2823" w:type="dxa"/>
            <w:gridSpan w:val="7"/>
            <w:tcBorders>
              <w:top w:val="single" w:color="auto" w:sz="4" w:space="0"/>
              <w:left w:val="nil"/>
              <w:bottom w:val="single" w:color="auto" w:sz="4" w:space="0"/>
              <w:right w:val="single" w:color="auto" w:sz="4" w:space="0"/>
            </w:tcBorders>
            <w:vAlign w:val="center"/>
          </w:tcPr>
          <w:p>
            <w:pPr>
              <w:widowControl/>
              <w:jc w:val="center"/>
              <w:rPr>
                <w:rFonts w:cs="宋体" w:asciiTheme="majorEastAsia" w:hAnsiTheme="majorEastAsia" w:eastAsiaTheme="majorEastAsia"/>
                <w:color w:val="000000"/>
                <w:kern w:val="0"/>
                <w:sz w:val="20"/>
                <w:szCs w:val="20"/>
              </w:rPr>
            </w:pPr>
            <w:r>
              <w:rPr>
                <w:rFonts w:hint="eastAsia" w:asciiTheme="majorEastAsia" w:hAnsiTheme="majorEastAsia" w:eastAsiaTheme="majorEastAsia"/>
                <w:color w:val="000000"/>
                <w:sz w:val="20"/>
                <w:szCs w:val="20"/>
              </w:rPr>
              <w:t>基本达到预期目标</w:t>
            </w:r>
            <w:r>
              <w:rPr>
                <w:rFonts w:hint="eastAsia" w:cs="宋体" w:asciiTheme="majorEastAsia" w:hAnsiTheme="majorEastAsia" w:eastAsiaTheme="majorEastAsia"/>
                <w:color w:val="000000"/>
                <w:kern w:val="0"/>
                <w:sz w:val="20"/>
                <w:szCs w:val="20"/>
              </w:rPr>
              <w:t>　</w:t>
            </w:r>
          </w:p>
        </w:tc>
        <w:tc>
          <w:tcPr>
            <w:tcW w:w="7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721" w:type="dxa"/>
            <w:tcBorders>
              <w:top w:val="single" w:color="auto" w:sz="4" w:space="0"/>
              <w:left w:val="nil"/>
              <w:bottom w:val="single" w:color="auto" w:sz="4" w:space="0"/>
              <w:right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3</w:t>
            </w:r>
          </w:p>
        </w:tc>
        <w:tc>
          <w:tcPr>
            <w:tcW w:w="3117"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52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690" w:hRule="atLeast"/>
        </w:trPr>
        <w:tc>
          <w:tcPr>
            <w:tcW w:w="95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845"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851" w:type="dxa"/>
            <w:gridSpan w:val="2"/>
            <w:tcBorders>
              <w:top w:val="nil"/>
              <w:left w:val="nil"/>
              <w:bottom w:val="single" w:color="auto" w:sz="4" w:space="0"/>
              <w:right w:val="single" w:color="auto" w:sz="4" w:space="0"/>
            </w:tcBorders>
            <w:vAlign w:val="center"/>
          </w:tcPr>
          <w:p>
            <w:pPr>
              <w:widowControl/>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服务对象满意度</w:t>
            </w:r>
          </w:p>
        </w:tc>
        <w:tc>
          <w:tcPr>
            <w:tcW w:w="2695" w:type="dxa"/>
            <w:gridSpan w:val="4"/>
            <w:tcBorders>
              <w:top w:val="nil"/>
              <w:left w:val="nil"/>
              <w:bottom w:val="single" w:color="auto" w:sz="4" w:space="0"/>
              <w:right w:val="single" w:color="auto" w:sz="4" w:space="0"/>
            </w:tcBorders>
            <w:vAlign w:val="center"/>
          </w:tcPr>
          <w:p>
            <w:pPr>
              <w:jc w:val="center"/>
              <w:rPr>
                <w:rFonts w:cs="宋体" w:asciiTheme="majorEastAsia" w:hAnsiTheme="majorEastAsia" w:eastAsiaTheme="majorEastAsia"/>
                <w:color w:val="000000"/>
                <w:sz w:val="20"/>
                <w:szCs w:val="20"/>
              </w:rPr>
            </w:pPr>
            <w:r>
              <w:rPr>
                <w:rFonts w:hint="eastAsia" w:asciiTheme="majorEastAsia" w:hAnsiTheme="majorEastAsia" w:eastAsiaTheme="majorEastAsia"/>
                <w:color w:val="000000"/>
                <w:sz w:val="20"/>
                <w:szCs w:val="20"/>
              </w:rPr>
              <w:t>服务对象满意程度</w:t>
            </w:r>
          </w:p>
        </w:tc>
        <w:tc>
          <w:tcPr>
            <w:tcW w:w="2823" w:type="dxa"/>
            <w:gridSpan w:val="7"/>
            <w:tcBorders>
              <w:top w:val="nil"/>
              <w:left w:val="nil"/>
              <w:bottom w:val="single" w:color="auto" w:sz="4" w:space="0"/>
              <w:right w:val="single" w:color="auto" w:sz="4" w:space="0"/>
            </w:tcBorders>
            <w:vAlign w:val="center"/>
          </w:tcPr>
          <w:p>
            <w:pPr>
              <w:jc w:val="center"/>
              <w:rPr>
                <w:rFonts w:cs="宋体" w:asciiTheme="majorEastAsia" w:hAnsiTheme="majorEastAsia" w:eastAsiaTheme="majorEastAsia"/>
                <w:color w:val="000000"/>
                <w:sz w:val="20"/>
                <w:szCs w:val="20"/>
              </w:rPr>
            </w:pPr>
            <w:r>
              <w:rPr>
                <w:rFonts w:hint="eastAsia" w:asciiTheme="majorEastAsia" w:hAnsiTheme="majorEastAsia" w:eastAsiaTheme="majorEastAsia"/>
                <w:color w:val="000000"/>
                <w:sz w:val="20"/>
                <w:szCs w:val="20"/>
              </w:rPr>
              <w:t>北京市妇联宣传部获评2022年度妇女宣传舆论阵地建设先进单位。</w:t>
            </w:r>
          </w:p>
        </w:tc>
        <w:tc>
          <w:tcPr>
            <w:tcW w:w="709"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721" w:type="dxa"/>
            <w:tcBorders>
              <w:top w:val="nil"/>
              <w:left w:val="nil"/>
              <w:bottom w:val="single" w:color="auto" w:sz="4" w:space="0"/>
              <w:right w:val="nil"/>
            </w:tcBorders>
            <w:vAlign w:val="center"/>
          </w:tcPr>
          <w:p>
            <w:pPr>
              <w:jc w:val="cente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3</w:t>
            </w:r>
          </w:p>
        </w:tc>
        <w:tc>
          <w:tcPr>
            <w:tcW w:w="3117"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527"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569" w:hRule="atLeast"/>
        </w:trPr>
        <w:tc>
          <w:tcPr>
            <w:tcW w:w="14245" w:type="dxa"/>
            <w:gridSpan w:val="26"/>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8"/>
                <w:szCs w:val="18"/>
              </w:rPr>
            </w:pPr>
            <w:r>
              <w:rPr>
                <w:rFonts w:hint="eastAsia" w:ascii="宋体" w:hAnsi="宋体" w:cs="宋体"/>
                <w:b/>
                <w:bCs/>
                <w:color w:val="000000"/>
                <w:kern w:val="0"/>
                <w:sz w:val="18"/>
                <w:szCs w:val="18"/>
              </w:rPr>
              <w:t>三</w:t>
            </w:r>
            <w:r>
              <w:rPr>
                <w:rFonts w:ascii="宋体" w:hAnsi="宋体" w:cs="宋体"/>
                <w:b/>
                <w:bCs/>
                <w:color w:val="000000"/>
                <w:kern w:val="0"/>
                <w:sz w:val="18"/>
                <w:szCs w:val="18"/>
              </w:rPr>
              <w:t>、</w:t>
            </w:r>
            <w:r>
              <w:rPr>
                <w:rFonts w:hint="eastAsia" w:ascii="宋体" w:hAnsi="宋体" w:cs="宋体"/>
                <w:b/>
                <w:bCs/>
                <w:color w:val="000000"/>
                <w:kern w:val="0"/>
                <w:sz w:val="20"/>
                <w:szCs w:val="20"/>
              </w:rPr>
              <w:t>预算管理情况（20分）</w:t>
            </w:r>
          </w:p>
        </w:tc>
      </w:tr>
      <w:tr>
        <w:tblPrEx>
          <w:tblLayout w:type="fixed"/>
          <w:tblCellMar>
            <w:top w:w="0" w:type="dxa"/>
            <w:left w:w="108" w:type="dxa"/>
            <w:bottom w:w="0" w:type="dxa"/>
            <w:right w:w="108" w:type="dxa"/>
          </w:tblCellMar>
        </w:tblPrEx>
        <w:trPr>
          <w:trHeight w:val="702" w:hRule="atLeast"/>
        </w:trPr>
        <w:tc>
          <w:tcPr>
            <w:tcW w:w="9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一</w:t>
            </w:r>
            <w:r>
              <w:rPr>
                <w:rFonts w:ascii="宋体" w:hAnsi="宋体" w:cs="宋体"/>
                <w:b/>
                <w:bCs/>
                <w:color w:val="000000"/>
                <w:kern w:val="0"/>
                <w:sz w:val="20"/>
                <w:szCs w:val="20"/>
              </w:rPr>
              <w:t>级</w:t>
            </w:r>
          </w:p>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指标</w:t>
            </w:r>
          </w:p>
        </w:tc>
        <w:tc>
          <w:tcPr>
            <w:tcW w:w="83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二</w:t>
            </w:r>
            <w:r>
              <w:rPr>
                <w:rFonts w:ascii="宋体" w:hAnsi="宋体" w:cs="宋体"/>
                <w:b/>
                <w:bCs/>
                <w:color w:val="000000"/>
                <w:kern w:val="0"/>
                <w:sz w:val="20"/>
                <w:szCs w:val="20"/>
              </w:rPr>
              <w:t>级</w:t>
            </w:r>
          </w:p>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指标</w:t>
            </w:r>
          </w:p>
        </w:tc>
        <w:tc>
          <w:tcPr>
            <w:tcW w:w="869"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三</w:t>
            </w:r>
            <w:r>
              <w:rPr>
                <w:rFonts w:ascii="宋体" w:hAnsi="宋体" w:cs="宋体"/>
                <w:b/>
                <w:bCs/>
                <w:color w:val="000000"/>
                <w:kern w:val="0"/>
                <w:sz w:val="20"/>
                <w:szCs w:val="20"/>
              </w:rPr>
              <w:t>级</w:t>
            </w:r>
          </w:p>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指标</w:t>
            </w:r>
          </w:p>
        </w:tc>
        <w:tc>
          <w:tcPr>
            <w:tcW w:w="2684"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w:t>
            </w:r>
            <w:r>
              <w:rPr>
                <w:rFonts w:ascii="宋体" w:hAnsi="宋体" w:cs="宋体"/>
                <w:b/>
                <w:bCs/>
                <w:color w:val="000000"/>
                <w:kern w:val="0"/>
                <w:sz w:val="20"/>
                <w:szCs w:val="20"/>
              </w:rPr>
              <w:t>值</w:t>
            </w:r>
          </w:p>
        </w:tc>
        <w:tc>
          <w:tcPr>
            <w:tcW w:w="1832"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完成</w:t>
            </w:r>
            <w:r>
              <w:rPr>
                <w:rFonts w:ascii="宋体" w:hAnsi="宋体" w:cs="宋体"/>
                <w:b/>
                <w:bCs/>
                <w:color w:val="000000"/>
                <w:kern w:val="0"/>
                <w:sz w:val="20"/>
                <w:szCs w:val="20"/>
              </w:rPr>
              <w:t>值</w:t>
            </w:r>
          </w:p>
        </w:tc>
        <w:tc>
          <w:tcPr>
            <w:tcW w:w="71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分</w:t>
            </w:r>
            <w:r>
              <w:rPr>
                <w:rFonts w:ascii="宋体" w:hAnsi="宋体" w:cs="宋体"/>
                <w:b/>
                <w:bCs/>
                <w:color w:val="000000"/>
                <w:kern w:val="0"/>
                <w:sz w:val="20"/>
                <w:szCs w:val="20"/>
              </w:rPr>
              <w:t>值</w:t>
            </w:r>
          </w:p>
        </w:tc>
        <w:tc>
          <w:tcPr>
            <w:tcW w:w="709" w:type="dxa"/>
            <w:gridSpan w:val="3"/>
            <w:tcBorders>
              <w:top w:val="single" w:color="auto" w:sz="4" w:space="0"/>
              <w:left w:val="nil"/>
              <w:bottom w:val="single" w:color="auto" w:sz="4" w:space="0"/>
              <w:right w:val="nil"/>
            </w:tcBorders>
            <w:vAlign w:val="center"/>
          </w:tcPr>
          <w:p>
            <w:pPr>
              <w:widowControl/>
              <w:tabs>
                <w:tab w:val="left" w:pos="297"/>
              </w:tabs>
              <w:jc w:val="center"/>
              <w:rPr>
                <w:rFonts w:ascii="宋体" w:hAnsi="宋体" w:cs="宋体"/>
                <w:b/>
                <w:bCs/>
                <w:color w:val="000000"/>
                <w:kern w:val="0"/>
                <w:sz w:val="20"/>
                <w:szCs w:val="20"/>
              </w:rPr>
            </w:pPr>
            <w:r>
              <w:rPr>
                <w:rFonts w:hint="eastAsia" w:ascii="宋体" w:hAnsi="宋体" w:cs="宋体"/>
                <w:b/>
                <w:bCs/>
                <w:color w:val="000000"/>
                <w:kern w:val="0"/>
                <w:sz w:val="20"/>
                <w:szCs w:val="20"/>
              </w:rPr>
              <w:t>得</w:t>
            </w:r>
            <w:r>
              <w:rPr>
                <w:rFonts w:ascii="宋体" w:hAnsi="宋体" w:cs="宋体"/>
                <w:b/>
                <w:bCs/>
                <w:color w:val="000000"/>
                <w:kern w:val="0"/>
                <w:sz w:val="20"/>
                <w:szCs w:val="20"/>
              </w:rPr>
              <w:t>分</w:t>
            </w:r>
          </w:p>
        </w:tc>
        <w:tc>
          <w:tcPr>
            <w:tcW w:w="2408"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297"/>
              </w:tabs>
              <w:jc w:val="center"/>
              <w:rPr>
                <w:rFonts w:ascii="宋体" w:hAnsi="宋体" w:cs="宋体"/>
                <w:b/>
                <w:bCs/>
                <w:color w:val="000000"/>
                <w:kern w:val="0"/>
                <w:sz w:val="18"/>
                <w:szCs w:val="18"/>
              </w:rPr>
            </w:pPr>
            <w:r>
              <w:rPr>
                <w:rFonts w:hint="eastAsia" w:ascii="宋体" w:hAnsi="宋体" w:cs="宋体"/>
                <w:b/>
                <w:bCs/>
                <w:color w:val="000000"/>
                <w:kern w:val="0"/>
                <w:sz w:val="18"/>
                <w:szCs w:val="18"/>
              </w:rPr>
              <w:t>指标</w:t>
            </w:r>
            <w:r>
              <w:rPr>
                <w:rFonts w:ascii="宋体" w:hAnsi="宋体" w:cs="宋体"/>
                <w:b/>
                <w:bCs/>
                <w:color w:val="000000"/>
                <w:kern w:val="0"/>
                <w:sz w:val="18"/>
                <w:szCs w:val="18"/>
              </w:rPr>
              <w:t>解释</w:t>
            </w:r>
          </w:p>
        </w:tc>
        <w:tc>
          <w:tcPr>
            <w:tcW w:w="3233"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评</w:t>
            </w:r>
            <w:r>
              <w:rPr>
                <w:rFonts w:ascii="宋体" w:hAnsi="宋体" w:cs="宋体"/>
                <w:b/>
                <w:bCs/>
                <w:color w:val="000000"/>
                <w:kern w:val="0"/>
                <w:sz w:val="18"/>
                <w:szCs w:val="18"/>
              </w:rPr>
              <w:t>分标准</w:t>
            </w:r>
          </w:p>
        </w:tc>
      </w:tr>
      <w:tr>
        <w:tblPrEx>
          <w:tblLayout w:type="fixed"/>
          <w:tblCellMar>
            <w:top w:w="0" w:type="dxa"/>
            <w:left w:w="108" w:type="dxa"/>
            <w:bottom w:w="0" w:type="dxa"/>
            <w:right w:w="108" w:type="dxa"/>
          </w:tblCellMar>
        </w:tblPrEx>
        <w:trPr>
          <w:trHeight w:val="1230" w:hRule="atLeast"/>
        </w:trPr>
        <w:tc>
          <w:tcPr>
            <w:tcW w:w="95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预算管理情况（20）</w:t>
            </w:r>
          </w:p>
        </w:tc>
        <w:tc>
          <w:tcPr>
            <w:tcW w:w="83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财务</w:t>
            </w:r>
          </w:p>
          <w:p>
            <w:pPr>
              <w:widowControl/>
              <w:jc w:val="center"/>
              <w:rPr>
                <w:rFonts w:ascii="宋体" w:hAnsi="宋体" w:cs="宋体"/>
                <w:color w:val="000000"/>
                <w:kern w:val="0"/>
                <w:sz w:val="20"/>
                <w:szCs w:val="20"/>
              </w:rPr>
            </w:pPr>
            <w:r>
              <w:rPr>
                <w:rFonts w:hint="eastAsia" w:ascii="宋体" w:hAnsi="宋体" w:cs="宋体"/>
                <w:color w:val="000000"/>
                <w:kern w:val="0"/>
                <w:sz w:val="20"/>
                <w:szCs w:val="20"/>
              </w:rPr>
              <w:t>管理</w:t>
            </w:r>
          </w:p>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869" w:type="dxa"/>
            <w:gridSpan w:val="4"/>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财务管理制度健全性</w:t>
            </w:r>
          </w:p>
        </w:tc>
        <w:tc>
          <w:tcPr>
            <w:tcW w:w="2684" w:type="dxa"/>
            <w:gridSpan w:val="3"/>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建立相关财务管理制度，且完整、合规</w:t>
            </w:r>
          </w:p>
        </w:tc>
        <w:tc>
          <w:tcPr>
            <w:tcW w:w="1832" w:type="dxa"/>
            <w:gridSpan w:val="4"/>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相关财务管理制度完整、规范</w:t>
            </w:r>
          </w:p>
        </w:tc>
        <w:tc>
          <w:tcPr>
            <w:tcW w:w="715" w:type="dxa"/>
            <w:gridSpan w:val="2"/>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1</w:t>
            </w:r>
          </w:p>
        </w:tc>
        <w:tc>
          <w:tcPr>
            <w:tcW w:w="709" w:type="dxa"/>
            <w:gridSpan w:val="3"/>
            <w:tcBorders>
              <w:top w:val="single" w:color="auto" w:sz="4" w:space="0"/>
              <w:left w:val="nil"/>
              <w:bottom w:val="single" w:color="auto" w:sz="4" w:space="0"/>
              <w:right w:val="nil"/>
            </w:tcBorders>
            <w:vAlign w:val="center"/>
          </w:tcPr>
          <w:p>
            <w:pPr>
              <w:jc w:val="center"/>
              <w:rPr>
                <w:rFonts w:cs="宋体"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0.5</w:t>
            </w:r>
          </w:p>
        </w:tc>
        <w:tc>
          <w:tcPr>
            <w:tcW w:w="2408"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b/>
                <w:bCs/>
                <w:color w:val="000000"/>
                <w:kern w:val="0"/>
                <w:sz w:val="18"/>
                <w:szCs w:val="18"/>
              </w:rPr>
              <w:t>财务管理制度健全性:</w:t>
            </w:r>
            <w:r>
              <w:rPr>
                <w:rFonts w:hint="eastAsia" w:ascii="宋体" w:hAnsi="宋体" w:cs="宋体"/>
                <w:color w:val="000000"/>
                <w:kern w:val="0"/>
                <w:sz w:val="18"/>
                <w:szCs w:val="18"/>
              </w:rPr>
              <w:t>部门（单位）为加强财务管理、规范财务行为而制定的管理制度。</w:t>
            </w:r>
          </w:p>
        </w:tc>
        <w:tc>
          <w:tcPr>
            <w:tcW w:w="3233" w:type="dxa"/>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①预算资金管理办法、绩效跟踪管理办法、资产管理办法等各项制度是否健全；②部门内部财务管理制度是否完整、合规；③会计核算制度是否完整、合规。每有一项不合格扣0.5分，扣完为止。</w:t>
            </w:r>
          </w:p>
        </w:tc>
      </w:tr>
      <w:tr>
        <w:tblPrEx>
          <w:tblLayout w:type="fixed"/>
          <w:tblCellMar>
            <w:top w:w="0" w:type="dxa"/>
            <w:left w:w="108" w:type="dxa"/>
            <w:bottom w:w="0" w:type="dxa"/>
            <w:right w:w="108" w:type="dxa"/>
          </w:tblCellMar>
        </w:tblPrEx>
        <w:trPr>
          <w:trHeight w:val="2220" w:hRule="atLeast"/>
        </w:trPr>
        <w:tc>
          <w:tcPr>
            <w:tcW w:w="95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83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869"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资金使用合规性和安全性</w:t>
            </w:r>
          </w:p>
        </w:tc>
        <w:tc>
          <w:tcPr>
            <w:tcW w:w="2684" w:type="dxa"/>
            <w:gridSpan w:val="3"/>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资金使用符合相关管理要求，使用合规、安全</w:t>
            </w:r>
          </w:p>
        </w:tc>
        <w:tc>
          <w:tcPr>
            <w:tcW w:w="1832" w:type="dxa"/>
            <w:gridSpan w:val="4"/>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资金使用符合要求、规范执行</w:t>
            </w:r>
          </w:p>
        </w:tc>
        <w:tc>
          <w:tcPr>
            <w:tcW w:w="715" w:type="dxa"/>
            <w:gridSpan w:val="2"/>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2</w:t>
            </w:r>
          </w:p>
        </w:tc>
        <w:tc>
          <w:tcPr>
            <w:tcW w:w="709" w:type="dxa"/>
            <w:gridSpan w:val="3"/>
            <w:tcBorders>
              <w:top w:val="single" w:color="auto" w:sz="4" w:space="0"/>
              <w:left w:val="nil"/>
              <w:bottom w:val="single" w:color="auto" w:sz="4" w:space="0"/>
              <w:right w:val="nil"/>
            </w:tcBorders>
            <w:vAlign w:val="center"/>
          </w:tcPr>
          <w:p>
            <w:pPr>
              <w:jc w:val="center"/>
              <w:rPr>
                <w:rFonts w:cs="宋体"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2</w:t>
            </w:r>
          </w:p>
        </w:tc>
        <w:tc>
          <w:tcPr>
            <w:tcW w:w="2408"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b/>
                <w:bCs/>
                <w:color w:val="000000"/>
                <w:kern w:val="0"/>
                <w:sz w:val="18"/>
                <w:szCs w:val="18"/>
              </w:rPr>
              <w:t>资金使用合规性和安全性:</w:t>
            </w:r>
            <w:r>
              <w:rPr>
                <w:rFonts w:hint="eastAsia" w:ascii="宋体" w:hAnsi="宋体" w:cs="宋体"/>
                <w:color w:val="000000"/>
                <w:kern w:val="0"/>
                <w:sz w:val="18"/>
                <w:szCs w:val="18"/>
              </w:rPr>
              <w:t>部门（单位）使用预算资金是否符合相关的预算财务管理制度的规定，是否符合相关规定的开支范围，用以反映考核部门（单位）预算资金的规范运行和安全运行情况。</w:t>
            </w:r>
          </w:p>
        </w:tc>
        <w:tc>
          <w:tcPr>
            <w:tcW w:w="3233" w:type="dxa"/>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①是否符合国家财经法规和财务管理制度规定以及有关专项资金管理办法的规定；②资金的拨付是否有完整的审批程序和手续；③项目的重大开支是否经过评估论证；④是否符合部门预算批复的用途；⑤是否存在截留、挤占、挪用情况；⑥资金使用是否符合政府采购的程序和流程；⑦资金使用是否符合公务卡结算相关制度和规定。每有一项不合格扣0.5分，扣完为止。</w:t>
            </w:r>
          </w:p>
        </w:tc>
      </w:tr>
      <w:tr>
        <w:tblPrEx>
          <w:tblLayout w:type="fixed"/>
          <w:tblCellMar>
            <w:top w:w="0" w:type="dxa"/>
            <w:left w:w="108" w:type="dxa"/>
            <w:bottom w:w="0" w:type="dxa"/>
            <w:right w:w="108" w:type="dxa"/>
          </w:tblCellMar>
        </w:tblPrEx>
        <w:trPr>
          <w:trHeight w:val="1035" w:hRule="atLeast"/>
        </w:trPr>
        <w:tc>
          <w:tcPr>
            <w:tcW w:w="9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838"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869"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会计基础信息完善性</w:t>
            </w:r>
          </w:p>
        </w:tc>
        <w:tc>
          <w:tcPr>
            <w:tcW w:w="2684" w:type="dxa"/>
            <w:gridSpan w:val="3"/>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基础数据信息和会计信息资料、完整、准确</w:t>
            </w:r>
          </w:p>
        </w:tc>
        <w:tc>
          <w:tcPr>
            <w:tcW w:w="1832" w:type="dxa"/>
            <w:gridSpan w:val="4"/>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单位基础数据信息和会计信息资料、完整、准确　</w:t>
            </w:r>
          </w:p>
        </w:tc>
        <w:tc>
          <w:tcPr>
            <w:tcW w:w="715" w:type="dxa"/>
            <w:gridSpan w:val="2"/>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709" w:type="dxa"/>
            <w:gridSpan w:val="3"/>
            <w:tcBorders>
              <w:top w:val="nil"/>
              <w:left w:val="nil"/>
              <w:bottom w:val="single" w:color="auto" w:sz="4" w:space="0"/>
              <w:right w:val="nil"/>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2408" w:type="dxa"/>
            <w:gridSpan w:val="3"/>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b/>
                <w:bCs/>
                <w:color w:val="000000"/>
                <w:kern w:val="0"/>
                <w:sz w:val="18"/>
                <w:szCs w:val="18"/>
              </w:rPr>
              <w:t>会计基础信息完善性:</w:t>
            </w:r>
            <w:r>
              <w:rPr>
                <w:rFonts w:hint="eastAsia" w:ascii="宋体" w:hAnsi="宋体" w:cs="宋体"/>
                <w:color w:val="000000"/>
                <w:kern w:val="0"/>
                <w:sz w:val="18"/>
                <w:szCs w:val="18"/>
              </w:rPr>
              <w:t>部门（单位）会计基础信息情况。</w:t>
            </w:r>
          </w:p>
        </w:tc>
        <w:tc>
          <w:tcPr>
            <w:tcW w:w="3233" w:type="dxa"/>
            <w:gridSpan w:val="4"/>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①基础数据信息和会计信息资料是否真实；②基础数据信息和会计信息资料是否完整；③基础数据信息和会计信息资料是否准确。每有一项不合格扣0.5分，扣完为止。</w:t>
            </w:r>
          </w:p>
        </w:tc>
      </w:tr>
      <w:tr>
        <w:tblPrEx>
          <w:tblLayout w:type="fixed"/>
          <w:tblCellMar>
            <w:top w:w="0" w:type="dxa"/>
            <w:left w:w="108" w:type="dxa"/>
            <w:bottom w:w="0" w:type="dxa"/>
            <w:right w:w="108" w:type="dxa"/>
          </w:tblCellMar>
        </w:tblPrEx>
        <w:trPr>
          <w:trHeight w:val="3060" w:hRule="atLeast"/>
        </w:trPr>
        <w:tc>
          <w:tcPr>
            <w:tcW w:w="9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83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资产管理（4）</w:t>
            </w:r>
          </w:p>
        </w:tc>
        <w:tc>
          <w:tcPr>
            <w:tcW w:w="869"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资产管理规范性</w:t>
            </w:r>
          </w:p>
        </w:tc>
        <w:tc>
          <w:tcPr>
            <w:tcW w:w="268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资产管理制度健全，执行规范</w:t>
            </w:r>
          </w:p>
        </w:tc>
        <w:tc>
          <w:tcPr>
            <w:tcW w:w="1832"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资产管理制度健全，且规范执行</w:t>
            </w:r>
          </w:p>
        </w:tc>
        <w:tc>
          <w:tcPr>
            <w:tcW w:w="71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4</w:t>
            </w:r>
          </w:p>
        </w:tc>
        <w:tc>
          <w:tcPr>
            <w:tcW w:w="70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4</w:t>
            </w:r>
          </w:p>
        </w:tc>
        <w:tc>
          <w:tcPr>
            <w:tcW w:w="2408"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b/>
                <w:bCs/>
                <w:color w:val="000000"/>
                <w:kern w:val="0"/>
                <w:sz w:val="18"/>
                <w:szCs w:val="18"/>
              </w:rPr>
              <w:t>资产管理规范性:</w:t>
            </w:r>
            <w:r>
              <w:rPr>
                <w:rFonts w:hint="eastAsia" w:ascii="宋体" w:hAnsi="宋体" w:cs="宋体"/>
                <w:color w:val="000000"/>
                <w:kern w:val="0"/>
                <w:sz w:val="18"/>
                <w:szCs w:val="18"/>
              </w:rPr>
              <w:t>部门（单位）的资产是否保持安全完整，资产配置是否合理，资产使用和资产处理是否规范，用以反映和考核部门（单位）资产管理的整体水平。</w:t>
            </w:r>
          </w:p>
        </w:tc>
        <w:tc>
          <w:tcPr>
            <w:tcW w:w="3233"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①对外投资行为是否经审批，是否存在投资亏损；②是否有因管理不当发生严重资产损失和丢失情况；③是否存在超标准配置资产；④资产使用是否规范，是否存在未经批准擅自出租、出借资产行为；⑤资产处置是否规范，是否存在不按要求进行报批或资产不公开处置行为；⑥其它资产管理制度办法执行情况。每有一项不合格扣0.8分，扣完为止。</w:t>
            </w:r>
          </w:p>
        </w:tc>
      </w:tr>
      <w:tr>
        <w:tblPrEx>
          <w:tblLayout w:type="fixed"/>
          <w:tblCellMar>
            <w:top w:w="0" w:type="dxa"/>
            <w:left w:w="108" w:type="dxa"/>
            <w:bottom w:w="0" w:type="dxa"/>
            <w:right w:w="108" w:type="dxa"/>
          </w:tblCellMar>
        </w:tblPrEx>
        <w:trPr>
          <w:trHeight w:val="1200" w:hRule="atLeast"/>
        </w:trPr>
        <w:tc>
          <w:tcPr>
            <w:tcW w:w="9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83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绩效管理（4）</w:t>
            </w:r>
          </w:p>
        </w:tc>
        <w:tc>
          <w:tcPr>
            <w:tcW w:w="869"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绩效管理情况</w:t>
            </w:r>
          </w:p>
        </w:tc>
        <w:tc>
          <w:tcPr>
            <w:tcW w:w="2684" w:type="dxa"/>
            <w:gridSpan w:val="3"/>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对绩效信息进行汇总分析整理；对绩效目标偏离情况及时进行矫正。</w:t>
            </w:r>
          </w:p>
        </w:tc>
        <w:tc>
          <w:tcPr>
            <w:tcW w:w="1832" w:type="dxa"/>
            <w:gridSpan w:val="4"/>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及时对绩效信息进行汇总分析整理；对绩效目标偏离情况及时进行矫正。</w:t>
            </w:r>
          </w:p>
        </w:tc>
        <w:tc>
          <w:tcPr>
            <w:tcW w:w="71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709" w:type="dxa"/>
            <w:gridSpan w:val="3"/>
            <w:tcBorders>
              <w:top w:val="single" w:color="auto" w:sz="4" w:space="0"/>
              <w:left w:val="nil"/>
              <w:bottom w:val="single" w:color="auto" w:sz="4" w:space="0"/>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2408"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b/>
                <w:bCs/>
                <w:color w:val="000000"/>
                <w:kern w:val="0"/>
                <w:sz w:val="18"/>
                <w:szCs w:val="18"/>
              </w:rPr>
              <w:t>绩效管理情况:</w:t>
            </w:r>
            <w:r>
              <w:rPr>
                <w:rFonts w:hint="eastAsia" w:ascii="宋体" w:hAnsi="宋体" w:cs="宋体"/>
                <w:color w:val="000000"/>
                <w:kern w:val="0"/>
                <w:sz w:val="18"/>
                <w:szCs w:val="18"/>
              </w:rPr>
              <w:t>考核部门（单位）在绩效管理信息的汇总和应用情况。</w:t>
            </w:r>
          </w:p>
        </w:tc>
        <w:tc>
          <w:tcPr>
            <w:tcW w:w="3233" w:type="dxa"/>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①部门（单位）是否及时对绩效信息进行汇总分析整理；②部门（单位）是否对绩效目标偏离情况及时进行矫正。每有一项不合格扣2分。</w:t>
            </w:r>
          </w:p>
        </w:tc>
      </w:tr>
      <w:tr>
        <w:tblPrEx>
          <w:tblLayout w:type="fixed"/>
          <w:tblCellMar>
            <w:top w:w="0" w:type="dxa"/>
            <w:left w:w="108" w:type="dxa"/>
            <w:bottom w:w="0" w:type="dxa"/>
            <w:right w:w="108" w:type="dxa"/>
          </w:tblCellMar>
        </w:tblPrEx>
        <w:trPr>
          <w:trHeight w:val="344" w:hRule="atLeast"/>
        </w:trPr>
        <w:tc>
          <w:tcPr>
            <w:tcW w:w="95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1707"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指标　</w:t>
            </w:r>
          </w:p>
        </w:tc>
        <w:tc>
          <w:tcPr>
            <w:tcW w:w="1320"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2021年</w:t>
            </w:r>
          </w:p>
        </w:tc>
        <w:tc>
          <w:tcPr>
            <w:tcW w:w="136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2022年</w:t>
            </w:r>
          </w:p>
        </w:tc>
        <w:tc>
          <w:tcPr>
            <w:tcW w:w="90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分值</w:t>
            </w:r>
          </w:p>
        </w:tc>
        <w:tc>
          <w:tcPr>
            <w:tcW w:w="932"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得分</w:t>
            </w:r>
          </w:p>
        </w:tc>
        <w:tc>
          <w:tcPr>
            <w:tcW w:w="3832"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bCs/>
                <w:color w:val="000000"/>
                <w:kern w:val="0"/>
                <w:sz w:val="18"/>
                <w:szCs w:val="18"/>
              </w:rPr>
              <w:t>指标</w:t>
            </w:r>
            <w:r>
              <w:rPr>
                <w:rFonts w:ascii="宋体" w:hAnsi="宋体" w:cs="宋体"/>
                <w:bCs/>
                <w:color w:val="000000"/>
                <w:kern w:val="0"/>
                <w:sz w:val="18"/>
                <w:szCs w:val="18"/>
              </w:rPr>
              <w:t>解释</w:t>
            </w:r>
          </w:p>
        </w:tc>
        <w:tc>
          <w:tcPr>
            <w:tcW w:w="3233" w:type="dxa"/>
            <w:gridSpan w:val="4"/>
            <w:tcBorders>
              <w:top w:val="single" w:color="auto" w:sz="4" w:space="0"/>
              <w:left w:val="nil"/>
              <w:bottom w:val="single" w:color="auto" w:sz="4" w:space="0"/>
              <w:right w:val="single" w:color="auto" w:sz="4" w:space="0"/>
            </w:tcBorders>
            <w:vAlign w:val="center"/>
          </w:tcPr>
          <w:p>
            <w:pPr>
              <w:widowControl/>
              <w:jc w:val="center"/>
              <w:rPr>
                <w:rFonts w:eastAsia="Times New Roman"/>
                <w:kern w:val="0"/>
                <w:sz w:val="20"/>
                <w:szCs w:val="20"/>
              </w:rPr>
            </w:pPr>
            <w:r>
              <w:rPr>
                <w:rFonts w:hint="eastAsia" w:ascii="宋体" w:hAnsi="宋体" w:cs="宋体"/>
                <w:color w:val="000000"/>
                <w:kern w:val="0"/>
                <w:sz w:val="18"/>
                <w:szCs w:val="18"/>
              </w:rPr>
              <w:t>评</w:t>
            </w:r>
            <w:r>
              <w:rPr>
                <w:rFonts w:ascii="宋体" w:hAnsi="宋体" w:cs="宋体"/>
                <w:color w:val="000000"/>
                <w:kern w:val="0"/>
                <w:sz w:val="18"/>
                <w:szCs w:val="18"/>
              </w:rPr>
              <w:t>分标准</w:t>
            </w:r>
          </w:p>
        </w:tc>
      </w:tr>
      <w:tr>
        <w:tblPrEx>
          <w:tblLayout w:type="fixed"/>
          <w:tblCellMar>
            <w:top w:w="0" w:type="dxa"/>
            <w:left w:w="108" w:type="dxa"/>
            <w:bottom w:w="0" w:type="dxa"/>
            <w:right w:w="108" w:type="dxa"/>
          </w:tblCellMar>
        </w:tblPrEx>
        <w:trPr>
          <w:trHeight w:val="2164" w:hRule="atLeast"/>
        </w:trPr>
        <w:tc>
          <w:tcPr>
            <w:tcW w:w="95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1707" w:type="dxa"/>
            <w:gridSpan w:val="6"/>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结转结余率（4）</w:t>
            </w:r>
          </w:p>
        </w:tc>
        <w:tc>
          <w:tcPr>
            <w:tcW w:w="1320"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11.03%</w:t>
            </w:r>
          </w:p>
        </w:tc>
        <w:tc>
          <w:tcPr>
            <w:tcW w:w="136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5.75%</w:t>
            </w:r>
          </w:p>
        </w:tc>
        <w:tc>
          <w:tcPr>
            <w:tcW w:w="900"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932" w:type="dxa"/>
            <w:gridSpan w:val="2"/>
            <w:tcBorders>
              <w:top w:val="nil"/>
              <w:left w:val="nil"/>
              <w:bottom w:val="single" w:color="auto" w:sz="4" w:space="0"/>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3832" w:type="dxa"/>
            <w:gridSpan w:val="8"/>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结转结余率=结转结余总额/支出预算数×100%。</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结转结余总额：部门（单位）本年度的结转资金与结余资金之和。</w:t>
            </w:r>
          </w:p>
        </w:tc>
        <w:tc>
          <w:tcPr>
            <w:tcW w:w="3233" w:type="dxa"/>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部门结转结余率低于上年的不扣分；高于上年结余率，每高出1个百分点扣0.4分，扣完为止。（说明：预算调整和结转结余指标，如非预算部门主观因素导致扣分的，在评分结果征求意见环节，经与相关部门预算主管处室共同研究，可作为例外情况酌情考虑。）</w:t>
            </w:r>
          </w:p>
        </w:tc>
      </w:tr>
      <w:tr>
        <w:tblPrEx>
          <w:tblLayout w:type="fixed"/>
          <w:tblCellMar>
            <w:top w:w="0" w:type="dxa"/>
            <w:left w:w="108" w:type="dxa"/>
            <w:bottom w:w="0" w:type="dxa"/>
            <w:right w:w="108" w:type="dxa"/>
          </w:tblCellMar>
        </w:tblPrEx>
        <w:trPr>
          <w:trHeight w:val="90" w:hRule="atLeast"/>
        </w:trPr>
        <w:tc>
          <w:tcPr>
            <w:tcW w:w="95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1707" w:type="dxa"/>
            <w:gridSpan w:val="6"/>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部门预决算差异率（4）</w:t>
            </w:r>
          </w:p>
        </w:tc>
        <w:tc>
          <w:tcPr>
            <w:tcW w:w="1320" w:type="dxa"/>
            <w:gridSpan w:val="2"/>
            <w:tcBorders>
              <w:top w:val="single" w:color="auto" w:sz="4" w:space="0"/>
              <w:left w:val="nil"/>
              <w:bottom w:val="single" w:color="auto" w:sz="4" w:space="0"/>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136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1.07%</w:t>
            </w:r>
          </w:p>
        </w:tc>
        <w:tc>
          <w:tcPr>
            <w:tcW w:w="900"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932" w:type="dxa"/>
            <w:gridSpan w:val="2"/>
            <w:tcBorders>
              <w:top w:val="nil"/>
              <w:left w:val="nil"/>
              <w:bottom w:val="single" w:color="auto" w:sz="4" w:space="0"/>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3832" w:type="dxa"/>
            <w:gridSpan w:val="8"/>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通过年度部门决算与年初部门预算对比，对部门的年度支出情况进行考核，衡量部门预算的约束力。</w:t>
            </w:r>
          </w:p>
        </w:tc>
        <w:tc>
          <w:tcPr>
            <w:tcW w:w="3233" w:type="dxa"/>
            <w:gridSpan w:val="4"/>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部门预决算差异率高于市级平均差异率（28.3%）的，每高出10%（含），扣0.4分，扣完为止。</w:t>
            </w:r>
          </w:p>
        </w:tc>
      </w:tr>
      <w:tr>
        <w:tblPrEx>
          <w:tblLayout w:type="fixed"/>
          <w:tblCellMar>
            <w:top w:w="0" w:type="dxa"/>
            <w:left w:w="108" w:type="dxa"/>
            <w:bottom w:w="0" w:type="dxa"/>
            <w:right w:w="108" w:type="dxa"/>
          </w:tblCellMar>
        </w:tblPrEx>
        <w:trPr>
          <w:trHeight w:val="404" w:hRule="atLeast"/>
        </w:trPr>
        <w:tc>
          <w:tcPr>
            <w:tcW w:w="5348" w:type="dxa"/>
            <w:gridSpan w:val="10"/>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合计</w:t>
            </w:r>
          </w:p>
        </w:tc>
        <w:tc>
          <w:tcPr>
            <w:tcW w:w="900" w:type="dxa"/>
            <w:gridSpan w:val="2"/>
            <w:tcBorders>
              <w:top w:val="nil"/>
              <w:left w:val="nil"/>
              <w:bottom w:val="single" w:color="auto" w:sz="4" w:space="0"/>
              <w:right w:val="single" w:color="auto" w:sz="4" w:space="0"/>
            </w:tcBorders>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100.00</w:t>
            </w:r>
          </w:p>
        </w:tc>
        <w:tc>
          <w:tcPr>
            <w:tcW w:w="932" w:type="dxa"/>
            <w:gridSpan w:val="2"/>
            <w:tcBorders>
              <w:top w:val="nil"/>
              <w:left w:val="nil"/>
              <w:bottom w:val="single" w:color="auto" w:sz="4" w:space="0"/>
              <w:right w:val="nil"/>
            </w:tcBorders>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87</w:t>
            </w:r>
            <w:r>
              <w:rPr>
                <w:rFonts w:ascii="宋体" w:hAnsi="宋体" w:cs="宋体"/>
                <w:b/>
                <w:color w:val="000000"/>
                <w:kern w:val="0"/>
                <w:sz w:val="20"/>
                <w:szCs w:val="20"/>
              </w:rPr>
              <w:t>.</w:t>
            </w:r>
            <w:r>
              <w:rPr>
                <w:rFonts w:hint="eastAsia" w:ascii="宋体" w:hAnsi="宋体" w:cs="宋体"/>
                <w:b/>
                <w:color w:val="000000"/>
                <w:kern w:val="0"/>
                <w:sz w:val="20"/>
                <w:szCs w:val="20"/>
              </w:rPr>
              <w:t>45　</w:t>
            </w:r>
          </w:p>
        </w:tc>
        <w:tc>
          <w:tcPr>
            <w:tcW w:w="7065" w:type="dxa"/>
            <w:gridSpan w:val="1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　</w:t>
            </w:r>
          </w:p>
        </w:tc>
      </w:tr>
    </w:tbl>
    <w:p>
      <w:pPr>
        <w:rPr>
          <w:rFonts w:ascii="黑体" w:hAnsi="黑体" w:eastAsia="黑体"/>
          <w:sz w:val="32"/>
          <w:szCs w:val="32"/>
        </w:rPr>
        <w:sectPr>
          <w:pgSz w:w="16838" w:h="11906" w:orient="landscape"/>
          <w:pgMar w:top="1800" w:right="1440" w:bottom="1800" w:left="1440" w:header="851" w:footer="992" w:gutter="0"/>
          <w:cols w:space="425" w:num="1"/>
          <w:docGrid w:type="lines" w:linePitch="312" w:charSpace="0"/>
        </w:sectPr>
      </w:pPr>
    </w:p>
    <w:p/>
    <w:sectPr>
      <w:pgSz w:w="11906" w:h="16838"/>
      <w:pgMar w:top="1440" w:right="1803" w:bottom="1440" w:left="180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roman"/>
    <w:pitch w:val="default"/>
    <w:sig w:usb0="A00002EF" w:usb1="4000207B"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pict>
        <v:shape id="_x0000_s3073" o:spid="_x0000_s3073"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joinstyle="miter"/>
          <v:imagedata o:title=""/>
          <o:lock v:ext="edit"/>
          <v:textbox inset="0mm,0mm,0mm,0mm" style="mso-fit-shape-to-text:t;">
            <w:txbxContent>
              <w:sdt>
                <w:sdtPr>
                  <w:id w:val="65624913"/>
                </w:sdtPr>
                <w:sdtContent>
                  <w:p>
                    <w:pPr>
                      <w:pStyle w:val="10"/>
                      <w:jc w:val="center"/>
                    </w:pPr>
                    <w:r>
                      <w:rPr>
                        <w:rFonts w:hint="eastAsia" w:ascii="宋体" w:hAnsi="宋体" w:cs="宋体"/>
                        <w:sz w:val="20"/>
                        <w:szCs w:val="21"/>
                      </w:rPr>
                      <w:fldChar w:fldCharType="begin"/>
                    </w:r>
                    <w:r>
                      <w:rPr>
                        <w:rFonts w:hint="eastAsia" w:ascii="宋体" w:hAnsi="宋体" w:cs="宋体"/>
                        <w:sz w:val="20"/>
                        <w:szCs w:val="21"/>
                      </w:rPr>
                      <w:instrText xml:space="preserve">PAGE   \* MERGEFORMAT</w:instrText>
                    </w:r>
                    <w:r>
                      <w:rPr>
                        <w:rFonts w:hint="eastAsia" w:ascii="宋体" w:hAnsi="宋体" w:cs="宋体"/>
                        <w:sz w:val="20"/>
                        <w:szCs w:val="21"/>
                      </w:rPr>
                      <w:fldChar w:fldCharType="separate"/>
                    </w:r>
                    <w:r>
                      <w:rPr>
                        <w:rFonts w:ascii="宋体" w:hAnsi="宋体" w:cs="宋体"/>
                        <w:sz w:val="20"/>
                        <w:szCs w:val="21"/>
                        <w:lang w:val="zh-CN"/>
                      </w:rPr>
                      <w:t>1</w:t>
                    </w:r>
                    <w:r>
                      <w:rPr>
                        <w:rFonts w:hint="eastAsia" w:ascii="宋体" w:hAnsi="宋体" w:cs="宋体"/>
                        <w:sz w:val="20"/>
                        <w:szCs w:val="21"/>
                      </w:rPr>
                      <w:fldChar w:fldCharType="end"/>
                    </w:r>
                  </w:p>
                </w:sdtContent>
              </w:sdt>
              <w:p>
                <w:pPr>
                  <w:pStyle w:val="14"/>
                </w:pPr>
              </w:p>
            </w:txbxContent>
          </v:textbox>
        </v:shape>
      </w:pict>
    </w:r>
  </w:p>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ZhYjVjYjM2MmNmNTI5Y2E5ZTlkMmEzZDY5NDUxZGQifQ=="/>
  </w:docVars>
  <w:rsids>
    <w:rsidRoot w:val="00E67491"/>
    <w:rsid w:val="00042E66"/>
    <w:rsid w:val="00071E9F"/>
    <w:rsid w:val="0014556A"/>
    <w:rsid w:val="00192F65"/>
    <w:rsid w:val="001A4F60"/>
    <w:rsid w:val="002E4454"/>
    <w:rsid w:val="0032355A"/>
    <w:rsid w:val="003628A8"/>
    <w:rsid w:val="003A629A"/>
    <w:rsid w:val="00413008"/>
    <w:rsid w:val="004A100C"/>
    <w:rsid w:val="004D373D"/>
    <w:rsid w:val="004D6360"/>
    <w:rsid w:val="00523159"/>
    <w:rsid w:val="0056586C"/>
    <w:rsid w:val="00581191"/>
    <w:rsid w:val="00634CB1"/>
    <w:rsid w:val="006A118A"/>
    <w:rsid w:val="006B4F71"/>
    <w:rsid w:val="006D481A"/>
    <w:rsid w:val="007E1D79"/>
    <w:rsid w:val="00803078"/>
    <w:rsid w:val="008F112A"/>
    <w:rsid w:val="00952D67"/>
    <w:rsid w:val="00980455"/>
    <w:rsid w:val="00987EC8"/>
    <w:rsid w:val="00A10BA9"/>
    <w:rsid w:val="00A41BC3"/>
    <w:rsid w:val="00B8627E"/>
    <w:rsid w:val="00BF7DD1"/>
    <w:rsid w:val="00C30776"/>
    <w:rsid w:val="00C33D78"/>
    <w:rsid w:val="00C71B49"/>
    <w:rsid w:val="00CB0E23"/>
    <w:rsid w:val="00CE7385"/>
    <w:rsid w:val="00CF4099"/>
    <w:rsid w:val="00E11031"/>
    <w:rsid w:val="00E67491"/>
    <w:rsid w:val="00F90887"/>
    <w:rsid w:val="00F91DEB"/>
    <w:rsid w:val="06A72A7B"/>
    <w:rsid w:val="06F9C141"/>
    <w:rsid w:val="09D15564"/>
    <w:rsid w:val="0A690774"/>
    <w:rsid w:val="0AE54168"/>
    <w:rsid w:val="0B0B7CAC"/>
    <w:rsid w:val="0B420FC5"/>
    <w:rsid w:val="11684E27"/>
    <w:rsid w:val="118934A9"/>
    <w:rsid w:val="13C133CE"/>
    <w:rsid w:val="149604C9"/>
    <w:rsid w:val="156D0F2C"/>
    <w:rsid w:val="15CE3245"/>
    <w:rsid w:val="16691AFB"/>
    <w:rsid w:val="1DA6229F"/>
    <w:rsid w:val="1FF91C64"/>
    <w:rsid w:val="247F0210"/>
    <w:rsid w:val="25D8389B"/>
    <w:rsid w:val="2771703E"/>
    <w:rsid w:val="2FA958B8"/>
    <w:rsid w:val="3017022E"/>
    <w:rsid w:val="344C07F1"/>
    <w:rsid w:val="36F154C9"/>
    <w:rsid w:val="36FBA52F"/>
    <w:rsid w:val="39590AF0"/>
    <w:rsid w:val="3FDFA859"/>
    <w:rsid w:val="40D514AA"/>
    <w:rsid w:val="434516C0"/>
    <w:rsid w:val="446C2633"/>
    <w:rsid w:val="479C9F46"/>
    <w:rsid w:val="49FBFB06"/>
    <w:rsid w:val="4B5C1408"/>
    <w:rsid w:val="4DDF79D2"/>
    <w:rsid w:val="4F074CB2"/>
    <w:rsid w:val="4FFD64C7"/>
    <w:rsid w:val="50027D7D"/>
    <w:rsid w:val="530F48B5"/>
    <w:rsid w:val="56C87B9D"/>
    <w:rsid w:val="5B743F95"/>
    <w:rsid w:val="5F69324B"/>
    <w:rsid w:val="61484E9B"/>
    <w:rsid w:val="625B180A"/>
    <w:rsid w:val="634144DE"/>
    <w:rsid w:val="63A01E57"/>
    <w:rsid w:val="63A2C85E"/>
    <w:rsid w:val="643605FC"/>
    <w:rsid w:val="644553A5"/>
    <w:rsid w:val="667F6685"/>
    <w:rsid w:val="67987117"/>
    <w:rsid w:val="685478BB"/>
    <w:rsid w:val="686E6EA8"/>
    <w:rsid w:val="688B6145"/>
    <w:rsid w:val="69A5377A"/>
    <w:rsid w:val="6A97F2AF"/>
    <w:rsid w:val="6AF3562A"/>
    <w:rsid w:val="6BBB2C00"/>
    <w:rsid w:val="6D6A1239"/>
    <w:rsid w:val="6DDAC29B"/>
    <w:rsid w:val="6FCE73C6"/>
    <w:rsid w:val="6FFFC6AF"/>
    <w:rsid w:val="7656ADEB"/>
    <w:rsid w:val="76CF12AA"/>
    <w:rsid w:val="776C6C13"/>
    <w:rsid w:val="78C26B27"/>
    <w:rsid w:val="7A3FD639"/>
    <w:rsid w:val="7B3BB7DA"/>
    <w:rsid w:val="7BEEF8F2"/>
    <w:rsid w:val="7BFF6DC9"/>
    <w:rsid w:val="7C7ABCDF"/>
    <w:rsid w:val="7DBEAE89"/>
    <w:rsid w:val="7EFDA3B3"/>
    <w:rsid w:val="7F3823EB"/>
    <w:rsid w:val="7F7DA7A2"/>
    <w:rsid w:val="7FAED779"/>
    <w:rsid w:val="7FFB5FBC"/>
    <w:rsid w:val="7FFF2017"/>
    <w:rsid w:val="7FFF5889"/>
    <w:rsid w:val="7FFFDD9F"/>
    <w:rsid w:val="A897C733"/>
    <w:rsid w:val="BBB9DB92"/>
    <w:rsid w:val="BEF94869"/>
    <w:rsid w:val="BEFA7443"/>
    <w:rsid w:val="BFA32CEC"/>
    <w:rsid w:val="CEFFFC8A"/>
    <w:rsid w:val="D5CFA8A9"/>
    <w:rsid w:val="E59958B1"/>
    <w:rsid w:val="EC39560A"/>
    <w:rsid w:val="ED7F4F28"/>
    <w:rsid w:val="EF9B01D3"/>
    <w:rsid w:val="EFAFA9CA"/>
    <w:rsid w:val="EFFD2FF9"/>
    <w:rsid w:val="F5BB29B6"/>
    <w:rsid w:val="F6F552D5"/>
    <w:rsid w:val="F7F60778"/>
    <w:rsid w:val="FAF5F68D"/>
    <w:rsid w:val="FBD34DF6"/>
    <w:rsid w:val="FDFAD698"/>
    <w:rsid w:val="FE9568CD"/>
    <w:rsid w:val="FEE9C1CC"/>
    <w:rsid w:val="FF7702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iPriority="99"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360" w:lineRule="auto"/>
      <w:jc w:val="center"/>
      <w:outlineLvl w:val="0"/>
    </w:pPr>
    <w:rPr>
      <w:rFonts w:ascii="Calibri" w:hAnsi="Calibri"/>
      <w:b/>
      <w:bCs/>
      <w:kern w:val="44"/>
      <w:sz w:val="44"/>
      <w:szCs w:val="44"/>
    </w:rPr>
  </w:style>
  <w:style w:type="paragraph" w:styleId="4">
    <w:name w:val="heading 2"/>
    <w:basedOn w:val="1"/>
    <w:next w:val="1"/>
    <w:qFormat/>
    <w:uiPriority w:val="0"/>
    <w:pPr>
      <w:keepNext/>
      <w:keepLines/>
      <w:spacing w:before="260" w:after="260" w:line="413" w:lineRule="auto"/>
      <w:outlineLvl w:val="1"/>
    </w:pPr>
    <w:rPr>
      <w:rFonts w:ascii="Arial" w:hAnsi="Arial" w:eastAsia="黑体"/>
      <w:b/>
      <w:sz w:val="32"/>
    </w:rPr>
  </w:style>
  <w:style w:type="character" w:default="1" w:styleId="15">
    <w:name w:val="Default Paragraph Font"/>
    <w:semiHidden/>
    <w:unhideWhenUsed/>
    <w:uiPriority w:val="1"/>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styleId="2">
    <w:name w:val="toc 3"/>
    <w:basedOn w:val="1"/>
    <w:next w:val="1"/>
    <w:unhideWhenUsed/>
    <w:qFormat/>
    <w:uiPriority w:val="39"/>
    <w:pPr>
      <w:ind w:left="840" w:leftChars="400"/>
    </w:pPr>
  </w:style>
  <w:style w:type="paragraph" w:styleId="5">
    <w:name w:val="annotation subject"/>
    <w:basedOn w:val="6"/>
    <w:next w:val="6"/>
    <w:link w:val="23"/>
    <w:qFormat/>
    <w:uiPriority w:val="0"/>
    <w:rPr>
      <w:b/>
      <w:bCs/>
    </w:rPr>
  </w:style>
  <w:style w:type="paragraph" w:styleId="6">
    <w:name w:val="annotation text"/>
    <w:basedOn w:val="1"/>
    <w:link w:val="22"/>
    <w:qFormat/>
    <w:uiPriority w:val="0"/>
    <w:pPr>
      <w:jc w:val="left"/>
    </w:pPr>
  </w:style>
  <w:style w:type="paragraph" w:styleId="7">
    <w:name w:val="Body Text Indent"/>
    <w:basedOn w:val="1"/>
    <w:next w:val="1"/>
    <w:semiHidden/>
    <w:unhideWhenUsed/>
    <w:qFormat/>
    <w:uiPriority w:val="99"/>
    <w:pPr>
      <w:spacing w:after="120"/>
      <w:ind w:left="420" w:leftChars="200"/>
    </w:pPr>
  </w:style>
  <w:style w:type="paragraph" w:styleId="8">
    <w:name w:val="Date"/>
    <w:basedOn w:val="1"/>
    <w:next w:val="1"/>
    <w:link w:val="29"/>
    <w:semiHidden/>
    <w:unhideWhenUsed/>
    <w:qFormat/>
    <w:uiPriority w:val="0"/>
    <w:pPr>
      <w:ind w:left="100" w:leftChars="2500"/>
    </w:pPr>
  </w:style>
  <w:style w:type="paragraph" w:styleId="9">
    <w:name w:val="Balloon Text"/>
    <w:basedOn w:val="1"/>
    <w:link w:val="24"/>
    <w:qFormat/>
    <w:uiPriority w:val="0"/>
    <w:rPr>
      <w:sz w:val="18"/>
      <w:szCs w:val="18"/>
    </w:rPr>
  </w:style>
  <w:style w:type="paragraph" w:styleId="10">
    <w:name w:val="footer"/>
    <w:basedOn w:val="1"/>
    <w:link w:val="26"/>
    <w:qFormat/>
    <w:uiPriority w:val="99"/>
    <w:pPr>
      <w:tabs>
        <w:tab w:val="center" w:pos="4153"/>
        <w:tab w:val="right" w:pos="8306"/>
      </w:tabs>
      <w:snapToGrid w:val="0"/>
      <w:jc w:val="left"/>
    </w:pPr>
    <w:rPr>
      <w:sz w:val="18"/>
      <w:szCs w:val="20"/>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qFormat/>
    <w:uiPriority w:val="0"/>
  </w:style>
  <w:style w:type="paragraph" w:styleId="13">
    <w:name w:val="toc 2"/>
    <w:basedOn w:val="1"/>
    <w:next w:val="1"/>
    <w:qFormat/>
    <w:uiPriority w:val="0"/>
    <w:pPr>
      <w:ind w:left="420" w:leftChars="200"/>
    </w:pPr>
  </w:style>
  <w:style w:type="paragraph" w:styleId="14">
    <w:name w:val="Title"/>
    <w:basedOn w:val="1"/>
    <w:next w:val="7"/>
    <w:qFormat/>
    <w:uiPriority w:val="0"/>
    <w:pPr>
      <w:spacing w:before="240" w:after="60"/>
      <w:jc w:val="center"/>
      <w:outlineLvl w:val="0"/>
    </w:pPr>
    <w:rPr>
      <w:rFonts w:ascii="Cambria" w:hAnsi="Cambria"/>
      <w:b/>
      <w:bCs/>
      <w:sz w:val="32"/>
      <w:szCs w:val="32"/>
    </w:rPr>
  </w:style>
  <w:style w:type="character" w:styleId="16">
    <w:name w:val="page number"/>
    <w:basedOn w:val="15"/>
    <w:qFormat/>
    <w:uiPriority w:val="0"/>
  </w:style>
  <w:style w:type="character" w:styleId="17">
    <w:name w:val="Hyperlink"/>
    <w:unhideWhenUsed/>
    <w:qFormat/>
    <w:uiPriority w:val="99"/>
    <w:rPr>
      <w:color w:val="0000FF"/>
      <w:u w:val="single"/>
    </w:rPr>
  </w:style>
  <w:style w:type="character" w:styleId="18">
    <w:name w:val="annotation reference"/>
    <w:basedOn w:val="15"/>
    <w:qFormat/>
    <w:uiPriority w:val="0"/>
    <w:rPr>
      <w:sz w:val="21"/>
      <w:szCs w:val="21"/>
    </w:rPr>
  </w:style>
  <w:style w:type="table" w:styleId="20">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style>
  <w:style w:type="paragraph" w:customStyle="1" w:styleId="21">
    <w:name w:val="列出段落1"/>
    <w:basedOn w:val="1"/>
    <w:qFormat/>
    <w:uiPriority w:val="34"/>
    <w:pPr>
      <w:ind w:firstLine="420" w:firstLineChars="200"/>
    </w:pPr>
    <w:rPr>
      <w:rFonts w:ascii="Calibri" w:hAnsi="Calibri" w:cs="黑体"/>
      <w:szCs w:val="22"/>
    </w:rPr>
  </w:style>
  <w:style w:type="character" w:customStyle="1" w:styleId="22">
    <w:name w:val="批注文字 Char"/>
    <w:basedOn w:val="15"/>
    <w:link w:val="6"/>
    <w:qFormat/>
    <w:uiPriority w:val="0"/>
    <w:rPr>
      <w:rFonts w:ascii="Times New Roman" w:hAnsi="Times New Roman" w:eastAsia="宋体" w:cs="Times New Roman"/>
      <w:kern w:val="2"/>
      <w:sz w:val="21"/>
      <w:szCs w:val="24"/>
    </w:rPr>
  </w:style>
  <w:style w:type="character" w:customStyle="1" w:styleId="23">
    <w:name w:val="批注主题 Char"/>
    <w:basedOn w:val="22"/>
    <w:link w:val="5"/>
    <w:qFormat/>
    <w:uiPriority w:val="0"/>
    <w:rPr>
      <w:rFonts w:ascii="Times New Roman" w:hAnsi="Times New Roman" w:eastAsia="宋体" w:cs="Times New Roman"/>
      <w:b/>
      <w:bCs/>
      <w:kern w:val="2"/>
      <w:sz w:val="21"/>
      <w:szCs w:val="24"/>
    </w:rPr>
  </w:style>
  <w:style w:type="character" w:customStyle="1" w:styleId="24">
    <w:name w:val="批注框文本 Char"/>
    <w:basedOn w:val="15"/>
    <w:link w:val="9"/>
    <w:qFormat/>
    <w:uiPriority w:val="0"/>
    <w:rPr>
      <w:rFonts w:ascii="Times New Roman" w:hAnsi="Times New Roman" w:eastAsia="宋体" w:cs="Times New Roman"/>
      <w:kern w:val="2"/>
      <w:sz w:val="18"/>
      <w:szCs w:val="18"/>
    </w:rPr>
  </w:style>
  <w:style w:type="paragraph" w:customStyle="1" w:styleId="25">
    <w:name w:val="列出段落2"/>
    <w:basedOn w:val="1"/>
    <w:unhideWhenUsed/>
    <w:qFormat/>
    <w:uiPriority w:val="99"/>
    <w:pPr>
      <w:ind w:firstLine="420" w:firstLineChars="200"/>
    </w:pPr>
  </w:style>
  <w:style w:type="character" w:customStyle="1" w:styleId="26">
    <w:name w:val="页脚 Char"/>
    <w:basedOn w:val="15"/>
    <w:link w:val="10"/>
    <w:qFormat/>
    <w:uiPriority w:val="99"/>
    <w:rPr>
      <w:rFonts w:ascii="Times New Roman" w:hAnsi="Times New Roman" w:eastAsia="宋体" w:cs="Times New Roman"/>
      <w:kern w:val="2"/>
      <w:sz w:val="18"/>
    </w:rPr>
  </w:style>
  <w:style w:type="paragraph" w:customStyle="1" w:styleId="27">
    <w:name w:val="修订1"/>
    <w:hidden/>
    <w:unhideWhenUsed/>
    <w:qFormat/>
    <w:uiPriority w:val="99"/>
    <w:rPr>
      <w:rFonts w:ascii="Times New Roman" w:hAnsi="Times New Roman" w:eastAsia="宋体" w:cs="Times New Roman"/>
      <w:kern w:val="2"/>
      <w:sz w:val="21"/>
      <w:szCs w:val="24"/>
      <w:lang w:val="en-US" w:eastAsia="zh-CN" w:bidi="ar-SA"/>
    </w:rPr>
  </w:style>
  <w:style w:type="paragraph" w:customStyle="1" w:styleId="28">
    <w:name w:val="修订2"/>
    <w:hidden/>
    <w:semiHidden/>
    <w:qFormat/>
    <w:uiPriority w:val="99"/>
    <w:rPr>
      <w:rFonts w:ascii="Times New Roman" w:hAnsi="Times New Roman" w:eastAsia="宋体" w:cs="Times New Roman"/>
      <w:kern w:val="2"/>
      <w:sz w:val="21"/>
      <w:szCs w:val="24"/>
      <w:lang w:val="en-US" w:eastAsia="zh-CN" w:bidi="ar-SA"/>
    </w:rPr>
  </w:style>
  <w:style w:type="character" w:customStyle="1" w:styleId="29">
    <w:name w:val="日期 Char"/>
    <w:basedOn w:val="15"/>
    <w:link w:val="8"/>
    <w:semiHidden/>
    <w:qFormat/>
    <w:uiPriority w:val="0"/>
    <w:rPr>
      <w:kern w:val="2"/>
      <w:sz w:val="21"/>
      <w:szCs w:val="24"/>
    </w:rPr>
  </w:style>
  <w:style w:type="paragraph" w:customStyle="1" w:styleId="30">
    <w:name w:val="TOC 标题1"/>
    <w:basedOn w:val="3"/>
    <w:next w:val="1"/>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character" w:customStyle="1" w:styleId="31">
    <w:name w:val="font11"/>
    <w:basedOn w:val="15"/>
    <w:qFormat/>
    <w:uiPriority w:val="0"/>
    <w:rPr>
      <w:rFonts w:hint="eastAsia" w:ascii="宋体" w:hAnsi="宋体" w:eastAsia="宋体" w:cs="宋体"/>
      <w:color w:val="000000"/>
      <w:sz w:val="18"/>
      <w:szCs w:val="18"/>
      <w:u w:val="none"/>
    </w:rPr>
  </w:style>
  <w:style w:type="character" w:customStyle="1" w:styleId="32">
    <w:name w:val="font21"/>
    <w:basedOn w:val="15"/>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1768</Words>
  <Characters>10084</Characters>
  <Lines>84</Lines>
  <Paragraphs>23</Paragraphs>
  <TotalTime>3</TotalTime>
  <ScaleCrop>false</ScaleCrop>
  <LinksUpToDate>false</LinksUpToDate>
  <CharactersWithSpaces>11829</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2022-03-13T19:16:00Z</dcterms:created>
  <dc:creator>user</dc:creator>
  <cp:lastModifiedBy>Lenovo</cp:lastModifiedBy>
  <cp:lastPrinted>2022-05-25T15:00:00Z</cp:lastPrinted>
  <dcterms:modified xsi:type="dcterms:W3CDTF">2023-06-06T06:49:38Z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ICV">
    <vt:lpwstr>6361682977E22709AA528A626D6AF634</vt:lpwstr>
  </property>
</Properties>
</file>