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bookmarkStart w:id="19" w:name="_GoBack"/>
      <w:bookmarkEnd w:id="19"/>
      <w:r>
        <w:rPr>
          <w:rFonts w:hint="eastAsia" w:ascii="仿宋_GB2312" w:hAnsi="仿宋"/>
        </w:rPr>
        <w:t xml:space="preserve">                        </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北京市妇女联合会</w:t>
      </w:r>
      <w:r>
        <w:rPr>
          <w:rFonts w:ascii="方正小标宋简体" w:eastAsia="方正小标宋简体"/>
          <w:sz w:val="44"/>
          <w:szCs w:val="44"/>
        </w:rPr>
        <w:br w:type="textWrapping"/>
      </w:r>
      <w:r>
        <w:rPr>
          <w:rFonts w:hint="eastAsia" w:ascii="方正小标宋简体" w:eastAsia="方正小标宋简体"/>
          <w:sz w:val="44"/>
          <w:szCs w:val="44"/>
        </w:rPr>
        <w:t>2022年度部门整体绩效评价报告</w:t>
      </w:r>
    </w:p>
    <w:p>
      <w:pPr>
        <w:jc w:val="right"/>
        <w:rPr>
          <w:rFonts w:ascii="仿宋_GB2312" w:eastAsia="仿宋_GB2312" w:hAnsiTheme="minorEastAsia" w:cstheme="minorBidi"/>
          <w:sz w:val="32"/>
          <w:szCs w:val="32"/>
        </w:rPr>
      </w:pPr>
    </w:p>
    <w:p>
      <w:pPr>
        <w:ind w:firstLine="640" w:firstLineChars="200"/>
        <w:rPr>
          <w:rFonts w:ascii="黑体" w:hAnsi="黑体" w:eastAsia="黑体" w:cs="宋体"/>
          <w:color w:val="000000"/>
          <w:kern w:val="0"/>
          <w:sz w:val="32"/>
          <w:szCs w:val="32"/>
        </w:rPr>
      </w:pPr>
      <w:r>
        <w:rPr>
          <w:rFonts w:hint="eastAsia" w:ascii="仿宋_GB2312" w:hAnsi="楷体" w:eastAsia="仿宋_GB2312"/>
          <w:bCs/>
          <w:kern w:val="0"/>
          <w:sz w:val="32"/>
          <w:szCs w:val="28"/>
        </w:rPr>
        <w:t>为进一步加强预算绩效管理，强化支出责任，提高财政资金使用效益，考核财政支出效率和综合效果，根据</w:t>
      </w:r>
      <w:r>
        <w:rPr>
          <w:rFonts w:hint="eastAsia" w:ascii="仿宋_GB2312" w:hAnsi="仿宋_GB2312" w:eastAsia="仿宋_GB2312" w:cs="仿宋_GB2312"/>
          <w:sz w:val="32"/>
        </w:rPr>
        <w:t>《中共北京市委 北京市人民政府关于全面实施预算绩效管理的实施意见》（京发〔2019〕12号）、</w:t>
      </w:r>
      <w:r>
        <w:rPr>
          <w:rFonts w:hint="eastAsia" w:ascii="仿宋_GB2312" w:hAnsi="楷体" w:eastAsia="仿宋_GB2312"/>
          <w:bCs/>
          <w:kern w:val="0"/>
          <w:sz w:val="32"/>
          <w:szCs w:val="28"/>
        </w:rPr>
        <w:t>《北京市项目支出绩效评价管理办法》（京财绩效〔2020〕2146号），结合</w:t>
      </w:r>
      <w:r>
        <w:rPr>
          <w:rFonts w:hint="eastAsia" w:ascii="仿宋_GB2312" w:eastAsia="仿宋_GB2312"/>
          <w:sz w:val="32"/>
          <w:szCs w:val="28"/>
        </w:rPr>
        <w:t>《北京市财政局关于2023年推进全面实施预算绩效管理工作的预通知》</w:t>
      </w:r>
      <w:r>
        <w:rPr>
          <w:rFonts w:hint="eastAsia" w:ascii="仿宋_GB2312" w:hAnsi="楷体" w:eastAsia="仿宋_GB2312"/>
          <w:bCs/>
          <w:kern w:val="0"/>
          <w:sz w:val="32"/>
          <w:szCs w:val="28"/>
        </w:rPr>
        <w:t>的工作安排，北京市妇女联合会（以下简称“市妇联”）组织实施2022年度部门整体绩效评价工作，形成本绩效评价报告。</w:t>
      </w:r>
    </w:p>
    <w:p>
      <w:pPr>
        <w:spacing w:line="600" w:lineRule="exact"/>
        <w:ind w:firstLine="640" w:firstLineChars="200"/>
        <w:outlineLvl w:val="0"/>
        <w:rPr>
          <w:rFonts w:ascii="黑体" w:hAnsi="黑体" w:eastAsia="黑体" w:cs="宋体"/>
          <w:color w:val="000000"/>
          <w:kern w:val="0"/>
          <w:sz w:val="32"/>
          <w:szCs w:val="32"/>
        </w:rPr>
      </w:pPr>
      <w:bookmarkStart w:id="0" w:name="_Toc31473"/>
      <w:r>
        <w:rPr>
          <w:rFonts w:hint="eastAsia" w:ascii="黑体" w:hAnsi="黑体" w:eastAsia="黑体" w:cs="宋体"/>
          <w:color w:val="000000"/>
          <w:kern w:val="0"/>
          <w:sz w:val="32"/>
          <w:szCs w:val="32"/>
        </w:rPr>
        <w:t>一、部门概况</w:t>
      </w:r>
      <w:bookmarkEnd w:id="0"/>
    </w:p>
    <w:p>
      <w:pPr>
        <w:spacing w:line="600" w:lineRule="exact"/>
        <w:ind w:firstLine="640" w:firstLineChars="200"/>
        <w:outlineLvl w:val="1"/>
        <w:rPr>
          <w:rFonts w:ascii="楷体" w:hAnsi="楷体" w:eastAsia="楷体"/>
          <w:sz w:val="32"/>
          <w:szCs w:val="32"/>
        </w:rPr>
      </w:pPr>
      <w:bookmarkStart w:id="1" w:name="_Toc17608"/>
      <w:r>
        <w:rPr>
          <w:rFonts w:hint="eastAsia" w:ascii="楷体" w:hAnsi="楷体" w:eastAsia="楷体"/>
          <w:sz w:val="32"/>
          <w:szCs w:val="32"/>
        </w:rPr>
        <w:t>（一）机构设置及职责工作任务情况</w:t>
      </w:r>
      <w:bookmarkEnd w:id="1"/>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1.机构设置</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北京市妇女联合会（以下简称“市妇联”）成立于1949年11月，是中共北京市委领导下的北京市各族各界妇女的群众团体组织，是党和政府联系妇女群众的桥梁和纽带。</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内设11个处室，分别为：办公室、组织部、宣传部、联络部、基层组织建设部、妇女发展部、权益部、家庭儿童部、社会工作部、机关党委（党建工作部）以及市妇儿工委办。根据《中共北京市委机构编制委员会关于北京市妇女联合会所属事业单位改革有关事项的批复》（京编委〔2021〕26号）规定，将北京市妇联信息中心与北京妇女研究中心整合，组建北京市妇女发展研究中心，将北京市三八服务中心与北京市妇女儿童社会服务中心整合，组建北京市妇女儿童服务中心，保留北京市妇女国际交流中心、北京市妇女干部学校。所属事业单位改革后，市妇联所属事业单位共4个，分别为北京市妇女儿童服务中心、北京市妇女国际交流中心、北京市妇女干部学校、北京市妇女发展研究中心。</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2.人员配置及人员构成情况</w:t>
      </w:r>
    </w:p>
    <w:p>
      <w:pPr>
        <w:ind w:firstLine="640" w:firstLineChars="200"/>
        <w:rPr>
          <w:rFonts w:ascii="仿宋_GB2312" w:hAnsi="楷体" w:eastAsia="仿宋_GB2312"/>
          <w:bCs/>
          <w:kern w:val="0"/>
          <w:sz w:val="32"/>
          <w:szCs w:val="28"/>
        </w:rPr>
      </w:pPr>
      <w:r>
        <w:rPr>
          <w:rFonts w:ascii="仿宋_GB2312" w:hAnsi="楷体" w:eastAsia="仿宋_GB2312"/>
          <w:bCs/>
          <w:kern w:val="0"/>
          <w:sz w:val="32"/>
          <w:szCs w:val="28"/>
        </w:rPr>
        <w:t>截至202</w:t>
      </w:r>
      <w:r>
        <w:rPr>
          <w:rFonts w:hint="eastAsia" w:ascii="仿宋_GB2312" w:hAnsi="楷体" w:eastAsia="仿宋_GB2312"/>
          <w:bCs/>
          <w:kern w:val="0"/>
          <w:sz w:val="32"/>
          <w:szCs w:val="28"/>
        </w:rPr>
        <w:t>2</w:t>
      </w:r>
      <w:r>
        <w:rPr>
          <w:rFonts w:ascii="仿宋_GB2312" w:hAnsi="楷体" w:eastAsia="仿宋_GB2312"/>
          <w:bCs/>
          <w:kern w:val="0"/>
          <w:sz w:val="32"/>
          <w:szCs w:val="28"/>
        </w:rPr>
        <w:t>年12月31日，</w:t>
      </w:r>
      <w:r>
        <w:rPr>
          <w:rFonts w:hint="eastAsia" w:ascii="仿宋_GB2312" w:hAnsi="楷体" w:eastAsia="仿宋_GB2312"/>
          <w:bCs/>
          <w:kern w:val="0"/>
          <w:sz w:val="32"/>
          <w:szCs w:val="28"/>
        </w:rPr>
        <w:t>市妇联</w:t>
      </w:r>
      <w:r>
        <w:rPr>
          <w:rFonts w:ascii="仿宋_GB2312" w:hAnsi="楷体" w:eastAsia="仿宋_GB2312"/>
          <w:bCs/>
          <w:kern w:val="0"/>
          <w:sz w:val="32"/>
          <w:szCs w:val="28"/>
        </w:rPr>
        <w:t>实有</w:t>
      </w:r>
      <w:r>
        <w:rPr>
          <w:rFonts w:hint="eastAsia" w:ascii="仿宋_GB2312" w:hAnsi="楷体" w:eastAsia="仿宋_GB2312"/>
          <w:bCs/>
          <w:kern w:val="0"/>
          <w:sz w:val="32"/>
          <w:szCs w:val="28"/>
        </w:rPr>
        <w:t>在职</w:t>
      </w:r>
      <w:r>
        <w:rPr>
          <w:rFonts w:ascii="仿宋_GB2312" w:hAnsi="楷体" w:eastAsia="仿宋_GB2312"/>
          <w:bCs/>
          <w:kern w:val="0"/>
          <w:sz w:val="32"/>
          <w:szCs w:val="28"/>
        </w:rPr>
        <w:t>人</w:t>
      </w:r>
      <w:r>
        <w:rPr>
          <w:rFonts w:hint="eastAsia" w:ascii="仿宋_GB2312" w:hAnsi="楷体" w:eastAsia="仿宋_GB2312"/>
          <w:bCs/>
          <w:kern w:val="0"/>
          <w:sz w:val="32"/>
          <w:szCs w:val="28"/>
        </w:rPr>
        <w:t>员132</w:t>
      </w:r>
      <w:r>
        <w:rPr>
          <w:rFonts w:ascii="仿宋_GB2312" w:hAnsi="楷体" w:eastAsia="仿宋_GB2312"/>
          <w:bCs/>
          <w:kern w:val="0"/>
          <w:sz w:val="32"/>
          <w:szCs w:val="28"/>
        </w:rPr>
        <w:t>人</w:t>
      </w:r>
      <w:r>
        <w:rPr>
          <w:rFonts w:hint="eastAsia" w:ascii="仿宋_GB2312" w:hAnsi="楷体" w:eastAsia="仿宋_GB2312"/>
          <w:bCs/>
          <w:kern w:val="0"/>
          <w:sz w:val="32"/>
          <w:szCs w:val="28"/>
        </w:rPr>
        <w:t>。其中</w:t>
      </w:r>
      <w:r>
        <w:rPr>
          <w:rFonts w:ascii="仿宋_GB2312" w:hAnsi="楷体" w:eastAsia="仿宋_GB2312"/>
          <w:bCs/>
          <w:kern w:val="0"/>
          <w:sz w:val="32"/>
          <w:szCs w:val="28"/>
        </w:rPr>
        <w:t>行政编制</w:t>
      </w:r>
      <w:r>
        <w:rPr>
          <w:rFonts w:hint="eastAsia" w:ascii="仿宋_GB2312" w:hAnsi="楷体" w:eastAsia="仿宋_GB2312"/>
          <w:bCs/>
          <w:kern w:val="0"/>
          <w:sz w:val="32"/>
          <w:szCs w:val="28"/>
        </w:rPr>
        <w:t>71</w:t>
      </w:r>
      <w:r>
        <w:rPr>
          <w:rFonts w:ascii="仿宋_GB2312" w:hAnsi="楷体" w:eastAsia="仿宋_GB2312"/>
          <w:bCs/>
          <w:kern w:val="0"/>
          <w:sz w:val="32"/>
          <w:szCs w:val="28"/>
        </w:rPr>
        <w:t>人，</w:t>
      </w:r>
      <w:r>
        <w:rPr>
          <w:rFonts w:hint="eastAsia" w:ascii="仿宋_GB2312" w:hAnsi="楷体" w:eastAsia="仿宋_GB2312"/>
          <w:bCs/>
          <w:kern w:val="0"/>
          <w:sz w:val="32"/>
          <w:szCs w:val="28"/>
        </w:rPr>
        <w:t>实际在职67人；</w:t>
      </w:r>
      <w:r>
        <w:rPr>
          <w:rFonts w:ascii="仿宋_GB2312" w:hAnsi="楷体" w:eastAsia="仿宋_GB2312"/>
          <w:bCs/>
          <w:kern w:val="0"/>
          <w:sz w:val="32"/>
          <w:szCs w:val="28"/>
        </w:rPr>
        <w:t>事业编制</w:t>
      </w:r>
      <w:r>
        <w:rPr>
          <w:rFonts w:hint="eastAsia" w:ascii="仿宋_GB2312" w:hAnsi="楷体" w:eastAsia="仿宋_GB2312"/>
          <w:bCs/>
          <w:kern w:val="0"/>
          <w:sz w:val="32"/>
          <w:szCs w:val="28"/>
        </w:rPr>
        <w:t>74</w:t>
      </w:r>
      <w:r>
        <w:rPr>
          <w:rFonts w:ascii="仿宋_GB2312" w:hAnsi="楷体" w:eastAsia="仿宋_GB2312"/>
          <w:bCs/>
          <w:kern w:val="0"/>
          <w:sz w:val="32"/>
          <w:szCs w:val="28"/>
        </w:rPr>
        <w:t>人</w:t>
      </w:r>
      <w:r>
        <w:rPr>
          <w:rFonts w:hint="eastAsia" w:ascii="仿宋_GB2312" w:hAnsi="楷体" w:eastAsia="仿宋_GB2312"/>
          <w:bCs/>
          <w:kern w:val="0"/>
          <w:sz w:val="32"/>
          <w:szCs w:val="28"/>
        </w:rPr>
        <w:t>，实际在职65人；聘用人员6人。离退休人员76人，其中</w:t>
      </w:r>
      <w:r>
        <w:rPr>
          <w:rFonts w:ascii="仿宋_GB2312" w:hAnsi="楷体" w:eastAsia="仿宋_GB2312"/>
          <w:bCs/>
          <w:kern w:val="0"/>
          <w:sz w:val="32"/>
          <w:szCs w:val="28"/>
        </w:rPr>
        <w:t>离休人员</w:t>
      </w:r>
      <w:r>
        <w:rPr>
          <w:rFonts w:hint="eastAsia" w:ascii="仿宋_GB2312" w:hAnsi="楷体" w:eastAsia="仿宋_GB2312"/>
          <w:bCs/>
          <w:kern w:val="0"/>
          <w:sz w:val="32"/>
          <w:szCs w:val="28"/>
        </w:rPr>
        <w:t>7</w:t>
      </w:r>
      <w:r>
        <w:rPr>
          <w:rFonts w:ascii="仿宋_GB2312" w:hAnsi="楷体" w:eastAsia="仿宋_GB2312"/>
          <w:bCs/>
          <w:kern w:val="0"/>
          <w:sz w:val="32"/>
          <w:szCs w:val="28"/>
        </w:rPr>
        <w:t>人，退休人员</w:t>
      </w:r>
      <w:r>
        <w:rPr>
          <w:rFonts w:hint="eastAsia" w:ascii="仿宋_GB2312" w:hAnsi="楷体" w:eastAsia="仿宋_GB2312"/>
          <w:bCs/>
          <w:kern w:val="0"/>
          <w:sz w:val="32"/>
          <w:szCs w:val="28"/>
        </w:rPr>
        <w:t>69</w:t>
      </w:r>
      <w:r>
        <w:rPr>
          <w:rFonts w:ascii="仿宋_GB2312" w:hAnsi="楷体" w:eastAsia="仿宋_GB2312"/>
          <w:bCs/>
          <w:kern w:val="0"/>
          <w:sz w:val="32"/>
          <w:szCs w:val="28"/>
        </w:rPr>
        <w:t>人。</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3.主要职能</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市妇联的基本职能是代表和维护妇女权益，促进男女平等。主要职责如下：</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（1）坚持正确的政治方向，团结教育首都各族各界妇女以及各类妇女组织贯彻执行国家有关方针、政策、法律、法规及本市的有关规定，同党中央在思想上、政治上、行动上保持高度一致。</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（2）紧密围绕市委和市政府的中心任务开展工作，团结、动员全市妇女群众投身改革开放和首都的两个文明建设，积极促进首都经济发展和社会进步。</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（3）宣传马克思主义妇女观和男女平等的思想、教育、引导妇女树立正确的世界观、人生观、价值观，弘扬“自尊、自信、自立、自强”精神，积极开展对妇女的教育培训，弘扬和践行社会主义核心价值观。</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4）代表妇女参与国家和社会事务的民主管理和民主监督；关注并加强研究涉及妇女切身利益的热点、难点问题，及时向市委和市政府反映社情民意，提出对策建议；参与研究制定有关妇女儿童的法律、法规和政策。</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（5）坚持为妇女儿童服务、为基层服务，加强与社会各界的联系，协调推动全社会为妇女儿童办实事。</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（6）负责指导市妇联机关所属事业单位及女性团体的工作。</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（7）指导各区妇联依据《中华全国妇女联合会章程》和妇女代表大会的任务，开展妇女儿童工作；联系团体会员并给予工作指导。</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（8）加强同香港、澳门特别行政区，台湾及海外侨胞妇女的联谊；拓展同世界各国妇女和妇女组织的友好交往，增进了解和友谊，开展国际合作。</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（9）承担北京市妇女儿童工作委员会的日常工作。</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10）研究提出全市妇女组织参与社会建设的规划、计划和政策、文件；统筹协调妇联系统“枢纽型”社会组织建设；负责妇女儿童类社会组织业务审查和日常联系、服务和管理工作；协调指导各区、各有关单位开展妇女社会组织组建工作。</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11）组织指导推动和谐家庭创建活动和家庭文化建设等工作，指导各级妇联配合有关方面开展家庭教育活动；参与研究拟定有关儿童保护方面的法律法规和政策，协助推动儿童发展规划实施；组织指导各级妇联开展有益于儿童身心健康的活动，宣传儿童优先理念。</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（12）承办市委、市政府交办的其他事项。</w:t>
      </w:r>
    </w:p>
    <w:p>
      <w:pPr>
        <w:spacing w:line="600" w:lineRule="exact"/>
        <w:ind w:firstLine="640" w:firstLineChars="200"/>
        <w:outlineLvl w:val="1"/>
        <w:rPr>
          <w:rFonts w:ascii="楷体" w:hAnsi="楷体" w:eastAsia="楷体"/>
          <w:sz w:val="32"/>
          <w:szCs w:val="32"/>
        </w:rPr>
      </w:pPr>
      <w:bookmarkStart w:id="2" w:name="_Toc21409"/>
      <w:r>
        <w:rPr>
          <w:rFonts w:hint="eastAsia" w:ascii="楷体" w:hAnsi="楷体" w:eastAsia="楷体"/>
          <w:sz w:val="32"/>
          <w:szCs w:val="32"/>
        </w:rPr>
        <w:t>（二）部门整体绩效目标设立情况</w:t>
      </w:r>
      <w:bookmarkEnd w:id="2"/>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按照党中央、国务院和市委、市政府关于妇女儿童事业发展的新部署新要求，以及“十三五”规划任务，认真实施社会事业与社会治理体制改革专项规划，深入实践“平等、融合、共享、阳光”理念，着力推动妇女儿童社会保障水平提升、服务体系建设转型升级和基础建设管理水平全面提高，促进广大妇女儿童共享首都经济社会发展成果，共创幸福美好新生活。</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2022年，市妇联部门整体绩效目标依据国家法律法规、北京市国民经济和社会发展总体规划，紧紧围绕单位职能职责设定，符合部门中长期实施规划。部门整体绩效目标符合客观实际，结合年度工作任务，既体现了单位履职范围内的常规工作任务，也结合特殊重要时点突出了年度新增特色重点工作内容。具体指标设置情况见下表：</w:t>
      </w:r>
    </w:p>
    <w:tbl>
      <w:tblPr>
        <w:tblStyle w:val="19"/>
        <w:tblW w:w="9831" w:type="dxa"/>
        <w:tblInd w:w="0" w:type="dxa"/>
        <w:tblLayout w:type="fixed"/>
        <w:tblCellMar>
          <w:top w:w="0" w:type="dxa"/>
          <w:left w:w="108" w:type="dxa"/>
          <w:bottom w:w="0" w:type="dxa"/>
          <w:right w:w="108" w:type="dxa"/>
        </w:tblCellMar>
      </w:tblPr>
      <w:tblGrid>
        <w:gridCol w:w="477"/>
        <w:gridCol w:w="1040"/>
        <w:gridCol w:w="1650"/>
        <w:gridCol w:w="1693"/>
        <w:gridCol w:w="1510"/>
        <w:gridCol w:w="1532"/>
        <w:gridCol w:w="535"/>
        <w:gridCol w:w="665"/>
        <w:gridCol w:w="729"/>
      </w:tblGrid>
      <w:tr>
        <w:tblPrEx>
          <w:tblLayout w:type="fixed"/>
          <w:tblCellMar>
            <w:top w:w="0" w:type="dxa"/>
            <w:left w:w="108" w:type="dxa"/>
            <w:bottom w:w="0" w:type="dxa"/>
            <w:right w:w="108" w:type="dxa"/>
          </w:tblCellMar>
        </w:tblPrEx>
        <w:trPr>
          <w:trHeight w:val="456" w:hRule="atLeast"/>
        </w:trPr>
        <w:tc>
          <w:tcPr>
            <w:tcW w:w="9831" w:type="dxa"/>
            <w:gridSpan w:val="9"/>
            <w:tcBorders>
              <w:top w:val="single" w:color="FFFFFF" w:sz="4" w:space="0"/>
              <w:left w:val="single" w:color="FFFFFF" w:sz="4" w:space="0"/>
              <w:bottom w:val="single" w:color="FFFFFF" w:sz="4" w:space="0"/>
              <w:right w:val="single" w:color="FFFFFF" w:sz="4" w:space="0"/>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部门整体支出绩效目标申报表</w:t>
            </w:r>
          </w:p>
        </w:tc>
      </w:tr>
      <w:tr>
        <w:tblPrEx>
          <w:tblLayout w:type="fixed"/>
          <w:tblCellMar>
            <w:top w:w="0" w:type="dxa"/>
            <w:left w:w="108" w:type="dxa"/>
            <w:bottom w:w="0" w:type="dxa"/>
            <w:right w:w="108" w:type="dxa"/>
          </w:tblCellMar>
        </w:tblPrEx>
        <w:trPr>
          <w:trHeight w:val="456" w:hRule="atLeast"/>
        </w:trPr>
        <w:tc>
          <w:tcPr>
            <w:tcW w:w="9831" w:type="dxa"/>
            <w:gridSpan w:val="9"/>
            <w:tcBorders>
              <w:top w:val="single" w:color="FFFFFF" w:sz="4" w:space="0"/>
              <w:left w:val="single" w:color="FFFFFF" w:sz="4" w:space="0"/>
              <w:bottom w:val="single" w:color="auto" w:sz="4" w:space="0"/>
              <w:right w:val="single" w:color="FFFFFF"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（2022年度）</w:t>
            </w:r>
          </w:p>
        </w:tc>
      </w:tr>
      <w:tr>
        <w:tblPrEx>
          <w:tblLayout w:type="fixed"/>
          <w:tblCellMar>
            <w:top w:w="0" w:type="dxa"/>
            <w:left w:w="108" w:type="dxa"/>
            <w:bottom w:w="0" w:type="dxa"/>
            <w:right w:w="108" w:type="dxa"/>
          </w:tblCellMar>
        </w:tblPrEx>
        <w:trPr>
          <w:trHeight w:val="331" w:hRule="atLeast"/>
        </w:trPr>
        <w:tc>
          <w:tcPr>
            <w:tcW w:w="15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部门（单位）名称</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北京市妇女联合会</w:t>
            </w:r>
          </w:p>
        </w:tc>
      </w:tr>
      <w:tr>
        <w:tblPrEx>
          <w:tblLayout w:type="fixed"/>
          <w:tblCellMar>
            <w:top w:w="0" w:type="dxa"/>
            <w:left w:w="108" w:type="dxa"/>
            <w:bottom w:w="0" w:type="dxa"/>
            <w:right w:w="108" w:type="dxa"/>
          </w:tblCellMar>
        </w:tblPrEx>
        <w:trPr>
          <w:trHeight w:val="331" w:hRule="atLeast"/>
        </w:trPr>
        <w:tc>
          <w:tcPr>
            <w:tcW w:w="151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总体资金情况</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（万元）</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预算支出总额</w:t>
            </w:r>
          </w:p>
        </w:tc>
        <w:tc>
          <w:tcPr>
            <w:tcW w:w="47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w:t>
            </w:r>
          </w:p>
        </w:tc>
        <w:tc>
          <w:tcPr>
            <w:tcW w:w="19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其他资金</w:t>
            </w:r>
          </w:p>
        </w:tc>
      </w:tr>
      <w:tr>
        <w:tblPrEx>
          <w:tblLayout w:type="fixed"/>
          <w:tblCellMar>
            <w:top w:w="0" w:type="dxa"/>
            <w:left w:w="108" w:type="dxa"/>
            <w:bottom w:w="0" w:type="dxa"/>
            <w:right w:w="108" w:type="dxa"/>
          </w:tblCellMar>
        </w:tblPrEx>
        <w:trPr>
          <w:trHeight w:val="331" w:hRule="atLeast"/>
        </w:trPr>
        <w:tc>
          <w:tcPr>
            <w:tcW w:w="15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合计</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基本支出</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项目支出</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合计</w:t>
            </w: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基本支出</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项目支出</w:t>
            </w:r>
          </w:p>
        </w:tc>
      </w:tr>
      <w:tr>
        <w:tblPrEx>
          <w:tblLayout w:type="fixed"/>
          <w:tblCellMar>
            <w:top w:w="0" w:type="dxa"/>
            <w:left w:w="108" w:type="dxa"/>
            <w:bottom w:w="0" w:type="dxa"/>
            <w:right w:w="108" w:type="dxa"/>
          </w:tblCellMar>
        </w:tblPrEx>
        <w:trPr>
          <w:trHeight w:val="331" w:hRule="atLeast"/>
        </w:trPr>
        <w:tc>
          <w:tcPr>
            <w:tcW w:w="151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10,078.432833</w:t>
            </w:r>
          </w:p>
        </w:tc>
        <w:tc>
          <w:tcPr>
            <w:tcW w:w="1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10,078.432833</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5,788.225412</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4,290.207421</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Cs w:val="21"/>
              </w:rPr>
            </w:pPr>
          </w:p>
        </w:tc>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Cs w:val="21"/>
              </w:rPr>
            </w:pP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szCs w:val="21"/>
              </w:rPr>
            </w:pPr>
          </w:p>
        </w:tc>
      </w:tr>
      <w:tr>
        <w:tblPrEx>
          <w:tblLayout w:type="fixed"/>
          <w:tblCellMar>
            <w:top w:w="0" w:type="dxa"/>
            <w:left w:w="108" w:type="dxa"/>
            <w:bottom w:w="0" w:type="dxa"/>
            <w:right w:w="108" w:type="dxa"/>
          </w:tblCellMar>
        </w:tblPrEx>
        <w:trPr>
          <w:trHeight w:val="701" w:hRule="atLeast"/>
        </w:trPr>
        <w:tc>
          <w:tcPr>
            <w:tcW w:w="4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整体绩效目标</w:t>
            </w: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整体绩效目标</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本着厉行节约、精打细算的原则安排年度支出预算，将单位履职工作需要与部门预算有机结合，加强财政资金支出绩效管理，强化各部门支出责任，建立科学、合理的财政资金绩效管理机制，提高单位预算管理水平，充分发挥财政资金使用效益。</w:t>
            </w:r>
          </w:p>
        </w:tc>
      </w:tr>
      <w:tr>
        <w:tblPrEx>
          <w:tblLayout w:type="fixed"/>
          <w:tblCellMar>
            <w:top w:w="0" w:type="dxa"/>
            <w:left w:w="108" w:type="dxa"/>
            <w:bottom w:w="0" w:type="dxa"/>
            <w:right w:w="108" w:type="dxa"/>
          </w:tblCellMar>
        </w:tblPrEx>
        <w:trPr>
          <w:trHeight w:val="294"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10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说明</w:t>
            </w:r>
          </w:p>
        </w:tc>
        <w:tc>
          <w:tcPr>
            <w:tcW w:w="83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Cs w:val="21"/>
              </w:rPr>
            </w:pPr>
          </w:p>
        </w:tc>
      </w:tr>
      <w:tr>
        <w:tblPrEx>
          <w:tblLayout w:type="fixed"/>
          <w:tblCellMar>
            <w:top w:w="0" w:type="dxa"/>
            <w:left w:w="108" w:type="dxa"/>
            <w:bottom w:w="0" w:type="dxa"/>
            <w:right w:w="108" w:type="dxa"/>
          </w:tblCellMar>
        </w:tblPrEx>
        <w:trPr>
          <w:trHeight w:val="331"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活动</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绩效指标</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指标性质</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指标值</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度量单位</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效益指标社会效益指标宣传男女平等基本国策</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好坏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基层组织建设与服务</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效益指标社会效益指标基层组织建设力度增强</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好坏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759"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妇女维权及市妇儿规划编制实施督导</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效益指标社会效益指标通过妇女、儿童规划的编制实施督导，推进妇女儿童在教育、健康、社会保障等领域得到全面发展</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好坏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妇女宣传思想政治引领</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效益指标社会效益指标优秀女性典型示范引领作用</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好坏</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妇女儿童公益志愿服务</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效益指标社会效益指标巾帼志愿服务影响力增大</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高中低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城乡妇女岗位建功及创业就业</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效益指标社会效益指标对口援建、京津冀地区妇女创业就业能力</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高中低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城乡妇女岗位建功及创业就业</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效益指标社会效益指标北京市妇女创业就业领域</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高中低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效益指标社会效益指标推进家庭支持服务方面</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高中低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效益指标社会效益指标家庭文明建设引领带动方面</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高中低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r>
        <w:tblPrEx>
          <w:tblLayout w:type="fixed"/>
          <w:tblCellMar>
            <w:top w:w="0" w:type="dxa"/>
            <w:left w:w="108" w:type="dxa"/>
            <w:bottom w:w="0" w:type="dxa"/>
            <w:right w:w="108" w:type="dxa"/>
          </w:tblCellMar>
        </w:tblPrEx>
        <w:trPr>
          <w:trHeight w:val="506" w:hRule="atLeast"/>
        </w:trPr>
        <w:tc>
          <w:tcPr>
            <w:tcW w:w="4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Cs w:val="21"/>
              </w:rPr>
            </w:pPr>
          </w:p>
        </w:tc>
        <w:tc>
          <w:tcPr>
            <w:tcW w:w="2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家庭文明建设</w:t>
            </w:r>
          </w:p>
        </w:tc>
        <w:tc>
          <w:tcPr>
            <w:tcW w:w="32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效益指标社会效益指标家庭教育指导服务方面</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定性</w:t>
            </w:r>
          </w:p>
        </w:tc>
        <w:tc>
          <w:tcPr>
            <w:tcW w:w="12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高中低</w:t>
            </w:r>
          </w:p>
        </w:tc>
        <w:tc>
          <w:tcPr>
            <w:tcW w:w="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Style w:val="32"/>
                <w:rFonts w:hint="default"/>
                <w:sz w:val="21"/>
                <w:szCs w:val="21"/>
              </w:rPr>
              <w:t>项</w:t>
            </w:r>
          </w:p>
        </w:tc>
      </w:tr>
    </w:tbl>
    <w:p>
      <w:pPr>
        <w:pStyle w:val="2"/>
      </w:pPr>
    </w:p>
    <w:p>
      <w:pPr>
        <w:spacing w:line="600" w:lineRule="exact"/>
        <w:ind w:firstLine="640" w:firstLineChars="200"/>
        <w:outlineLvl w:val="0"/>
        <w:rPr>
          <w:rFonts w:ascii="黑体" w:hAnsi="黑体" w:eastAsia="黑体" w:cs="宋体"/>
          <w:color w:val="000000"/>
          <w:kern w:val="0"/>
          <w:sz w:val="32"/>
          <w:szCs w:val="32"/>
        </w:rPr>
      </w:pPr>
      <w:bookmarkStart w:id="3" w:name="_Toc15661"/>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bookmarkEnd w:id="3"/>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2022年，市财政批复部门预算10,186.58万元，其中，基本支出预算6,317.70万元，项目支出预算3,868.88万元。</w:t>
      </w:r>
      <w:r>
        <w:rPr>
          <w:rFonts w:hint="eastAsia" w:ascii="仿宋_GB2312" w:hAnsi="仿宋_GB2312" w:eastAsia="仿宋_GB2312" w:cs="仿宋_GB2312"/>
          <w:kern w:val="0"/>
          <w:sz w:val="32"/>
          <w:szCs w:val="32"/>
        </w:rPr>
        <w:t>实际预算支出</w:t>
      </w:r>
      <w:r>
        <w:rPr>
          <w:rFonts w:hint="eastAsia" w:ascii="仿宋_GB2312" w:hAnsi="楷体" w:eastAsia="仿宋_GB2312"/>
          <w:bCs/>
          <w:kern w:val="0"/>
          <w:sz w:val="32"/>
          <w:szCs w:val="28"/>
        </w:rPr>
        <w:t>9,600.64万元，其中，基本支出5,918.75万元，项目支出3,681.89万元。预算执行率94.25%。</w:t>
      </w:r>
    </w:p>
    <w:p>
      <w:pPr>
        <w:spacing w:line="600" w:lineRule="exact"/>
        <w:ind w:firstLine="640" w:firstLineChars="200"/>
        <w:outlineLvl w:val="0"/>
        <w:rPr>
          <w:rFonts w:ascii="黑体" w:hAnsi="黑体" w:eastAsia="黑体" w:cs="宋体"/>
          <w:color w:val="000000"/>
          <w:kern w:val="0"/>
          <w:sz w:val="32"/>
          <w:szCs w:val="32"/>
        </w:rPr>
      </w:pPr>
      <w:bookmarkStart w:id="4" w:name="_Toc27822"/>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bookmarkEnd w:id="4"/>
    </w:p>
    <w:p>
      <w:pPr>
        <w:spacing w:line="600" w:lineRule="exact"/>
        <w:ind w:firstLine="640" w:firstLineChars="200"/>
        <w:outlineLvl w:val="1"/>
        <w:rPr>
          <w:rFonts w:ascii="楷体" w:hAnsi="楷体" w:eastAsia="楷体"/>
          <w:sz w:val="32"/>
          <w:szCs w:val="32"/>
        </w:rPr>
      </w:pPr>
      <w:bookmarkStart w:id="5" w:name="_Toc20074"/>
      <w:r>
        <w:rPr>
          <w:rFonts w:hint="eastAsia" w:ascii="楷体" w:hAnsi="楷体" w:eastAsia="楷体"/>
          <w:sz w:val="32"/>
          <w:szCs w:val="32"/>
        </w:rPr>
        <w:t>（一）产出完成情况分析</w:t>
      </w:r>
      <w:bookmarkEnd w:id="5"/>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2022年，市妇联贯彻落实党的二十大对妇女儿童事业、家庭家教家风建设以及深化妇联改革和建设等作出的新部署，全面完成落实市委书记尹力同志“市妇联要继续创新发展首都妇女工作，确保始终走在全国前列”的要求。市妇联工作受到全国妇联高度重视，沈跃跃、黄晓薇等同志多次作出指示批示，鼓励评价市妇联工作“创造了很多鲜活经验，各方面工作走在全国前列，很多好经验都值得全国妇联推广”。市妇联先后9次就思想政治引领、科技创新、家庭儿童等工作在全国介绍“北京经验”。年度整体绩效目标实现预期。</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1.产出数量</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广泛开展“巾帼心向党·喜迎（庆）二十大”群众性宣传教育活动，聚焦“强国复兴有我”主题，联动16区线上线下开展“巾帼大学习·今天我来读”云接力、“我奋斗·家国美”故事汇等活动，覆盖280万人次。</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（2）培树首都最美巾帼品牌，加强先进妇女典型学习宣传，以榜样力量激励妇女团结奋斗。“北京女性”新媒体矩阵开设“喜迎（庆）二十大”专栏，推送文章1600篇，全网浏览量达2亿次。</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（3）助推北京惠企纾困政策落地落实，帮助千余名城乡妇女实现就业，为女大学生提供岗位3.9万个。</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（4）争取财政资金1,700.00万元，扶持98个农村妇女创新创业项目。</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（5）联动16区特别是涉农区，筹集款物近400.00万元，助力疫情防控转段平稳有序。</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（6）大力加强妇女权益保障法、家庭教育促进法、未成年人保护法宣传，对504份规范性文件开展性别平等评估。</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（7）发挥“联”字优势，入户走访近百万户，发现婚姻家庭矛盾纠纷问题706件，通过调解、帮扶等方式化解691件，15件纳入相关部门关注。依托12345热线接诉即办，推动解决妇女诉求11000余件。</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（8）常态长效寻找“首都最美家庭”，评选300户年度首都最美家庭，揭晓年度“十大首都最美家庭”。</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2.产出质量</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（1）举办“第二届巾帼科技协同创新高峰论坛”，促进北京、上海、粤港澳大湾区的区域联动，探索巾帼科技协同创新的新机制、新模式、新途径。</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（2）打造“巾帼科技协同创新沙龙”工作品牌，深化巾帼科普志愿服务队、科普志愿服务基地建设。</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（3）举办红色家风讲堂，建立线上中华家风北京馆，弘扬优良家风。</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（4）健全学校家庭社会育人机制，在全国率先研究建立覆盖城乡的“114N”家庭教育指导服务体系，实现16区家庭教育指导中心建设全覆盖。</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（5）创新推广“适老适小”社区服务，推动托育、家政服务产业发展，为家庭减负提供支持。</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（6）大力加强妇女权益保障法、家庭教育促进法、未成年人保护法宣传。</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（7）持续推动妇联组织向“两新”组织延伸，在北京市行业协会商会、快递行业成立妇工委。</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3.产出进度</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市妇联工作贯穿全年，按照年初预算批复及年中预算调整情况，2022年完成了各项工作任务。</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4.产出成本</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市妇联2022年全年预算批复数10,186.58万元，实际预算支出9,600.64万元，其中，基本支出5,918.75万元，项目支出3,681.89万元，预算执行率94.25%。部门整体支出控制在预算批复范围内。</w:t>
      </w:r>
    </w:p>
    <w:p>
      <w:pPr>
        <w:spacing w:line="600" w:lineRule="exact"/>
        <w:ind w:firstLine="640" w:firstLineChars="200"/>
        <w:outlineLvl w:val="1"/>
        <w:rPr>
          <w:rFonts w:ascii="楷体" w:hAnsi="楷体" w:eastAsia="楷体"/>
          <w:sz w:val="32"/>
          <w:szCs w:val="32"/>
        </w:rPr>
      </w:pPr>
      <w:bookmarkStart w:id="6" w:name="_Toc31335"/>
      <w:r>
        <w:rPr>
          <w:rFonts w:hint="eastAsia" w:ascii="楷体" w:hAnsi="楷体" w:eastAsia="楷体"/>
          <w:sz w:val="32"/>
          <w:szCs w:val="32"/>
        </w:rPr>
        <w:t>（二）效果</w:t>
      </w:r>
      <w:r>
        <w:rPr>
          <w:rFonts w:ascii="楷体" w:hAnsi="楷体" w:eastAsia="楷体"/>
          <w:sz w:val="32"/>
          <w:szCs w:val="32"/>
        </w:rPr>
        <w:t>实现情况分析</w:t>
      </w:r>
      <w:bookmarkEnd w:id="6"/>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1.社会效益</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各级妇联组织积极参与冬奥、奉献冬奥，攻坚克难、连续奋战，圆满完成冬奥筹办服务保障任务。工作专班全力确保10万套观众物资保障和颁奖广场观众组织安全高效有序。联动开展“迎冬奥首都巾帼一起来”群众性宣传文化活动，组织动员妇女和家庭激情唱响“一起向未来”，持续营造共建双奥之城的热烈氛围。</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广泛凝聚同心抗疫“她力量”“家力量”。主动融入首都抗疫防疫工作大局，多轮次带头倡议、组织动员广大妇女和家庭坚定信心、同舟共济、共克时艰，在守好自家门、管好自家人、站好自己岗，在社区联防联控、邻里守望相助、特殊群体关心关爱中充分发挥独特作用，为坚决打赢疫情阻击战、夺取防控斗争重大胜利贡献巾帼力量。特别是疫情严峻时刻，市区妇联上下联动、包干指导，党员干部舍家忘我、坚守一线，带动全市11万妇联执委、15万巾帼志愿者以及65万户“首都最美家庭”众志成城、共筑防线，涌现出许多可歌可泣的感人事迹。全国妇联女性之声、中国妇女报等多次报道北京妇女和家庭的抗疫故事，在全国起到示范带动作用。</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2.可持续性影响</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健全学校家庭社会育人机制，在全国率先研究建立覆盖城乡的“114N”家庭教育指导服务体系，实现16区家庭教育指导中心建设全覆盖。创新推广“适老适小”社区服务，推动托育、家政服务产业发展，为家庭减负提供支持。</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（2）建立健全市家庭工作联席会议制度，充分发挥市级平台作用，联合市委宣传部、首都精神文明办推动将家庭家教家风建设纳入首都精神文明建设总体布局。</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3.服务对象满意度</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2022年充分发挥新媒体宣传优势，通过“北京女性”开展防拐、心理防疫加油站、家庭教育促进法、妇女权益保障法等宣传19期。联合法院、司法、人力社保等部门开展第四届“北京市依法维护妇女儿童合法权益典型案例”征集发布工作，取得较好社会效果。</w:t>
      </w:r>
      <w:r>
        <w:rPr>
          <w:rFonts w:hint="eastAsia" w:ascii="仿宋_GB2312" w:eastAsia="仿宋_GB2312"/>
          <w:sz w:val="32"/>
          <w:szCs w:val="32"/>
        </w:rPr>
        <w:t>北京市妇联宣传部获评2022年度妇女宣传舆论阵地建设先进单位。</w:t>
      </w:r>
    </w:p>
    <w:p>
      <w:pPr>
        <w:spacing w:line="600" w:lineRule="exact"/>
        <w:ind w:firstLine="640" w:firstLineChars="200"/>
        <w:outlineLvl w:val="0"/>
        <w:rPr>
          <w:rFonts w:ascii="黑体" w:hAnsi="黑体" w:eastAsia="黑体" w:cs="宋体"/>
          <w:kern w:val="0"/>
          <w:sz w:val="32"/>
          <w:szCs w:val="32"/>
        </w:rPr>
      </w:pPr>
      <w:bookmarkStart w:id="7" w:name="_Toc23823"/>
      <w:r>
        <w:rPr>
          <w:rFonts w:hint="eastAsia" w:ascii="黑体" w:hAnsi="黑体" w:eastAsia="黑体" w:cs="宋体"/>
          <w:kern w:val="0"/>
          <w:sz w:val="32"/>
          <w:szCs w:val="32"/>
        </w:rPr>
        <w:t>四</w:t>
      </w:r>
      <w:r>
        <w:rPr>
          <w:rFonts w:ascii="黑体" w:hAnsi="黑体" w:eastAsia="黑体" w:cs="宋体"/>
          <w:kern w:val="0"/>
          <w:sz w:val="32"/>
          <w:szCs w:val="32"/>
        </w:rPr>
        <w:t>、预算管理</w:t>
      </w:r>
      <w:r>
        <w:rPr>
          <w:rFonts w:hint="eastAsia" w:ascii="黑体" w:hAnsi="黑体" w:eastAsia="黑体" w:cs="宋体"/>
          <w:kern w:val="0"/>
          <w:sz w:val="32"/>
          <w:szCs w:val="32"/>
        </w:rPr>
        <w:t>情况分</w:t>
      </w:r>
      <w:r>
        <w:rPr>
          <w:rFonts w:ascii="黑体" w:hAnsi="黑体" w:eastAsia="黑体" w:cs="宋体"/>
          <w:kern w:val="0"/>
          <w:sz w:val="32"/>
          <w:szCs w:val="32"/>
        </w:rPr>
        <w:t>析</w:t>
      </w:r>
      <w:bookmarkEnd w:id="7"/>
    </w:p>
    <w:p>
      <w:pPr>
        <w:spacing w:line="600" w:lineRule="exact"/>
        <w:ind w:firstLine="640" w:firstLineChars="200"/>
        <w:outlineLvl w:val="1"/>
        <w:rPr>
          <w:rFonts w:ascii="楷体" w:hAnsi="楷体" w:eastAsia="楷体"/>
          <w:sz w:val="32"/>
          <w:szCs w:val="32"/>
        </w:rPr>
      </w:pPr>
      <w:bookmarkStart w:id="8" w:name="_Toc12974"/>
      <w:r>
        <w:rPr>
          <w:rFonts w:hint="eastAsia" w:ascii="楷体" w:hAnsi="楷体" w:eastAsia="楷体"/>
          <w:sz w:val="32"/>
          <w:szCs w:val="32"/>
        </w:rPr>
        <w:t>（一）财务管理</w:t>
      </w:r>
      <w:bookmarkEnd w:id="8"/>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1.财务管理制度健全性</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制定了《北京市妇女联合会内部控制管理制度汇编》，已建立《北京市妇联党组“三重一大”事项决策实施办法（试行）》《中共北京市妇联党组会议事规则》《北京市妇女联合会财务管理办法》《北京市妇女联合会预算管理办法》《北京市妇女联合会经费支出管理办法》《北京市妇女联合会购买社会组织服务项目实施细则（试行）》《北京市妇女联合会采购管理办法》《北京市妇女联合会固定资产管理办法》《北京市妇女联合会合同管理办法》等相关管理制度，对预算业务、收支业务、政府采购业务、固定资产管理业务、合同业务管理等均进行了规定，部门财务管理制度较健全。</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2.资金使用合规性和安全性</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2022年，市妇联严格执行政府会计准则制度及市级财政政策和部门预算管理相关规定与工作要求，建立健全部门管理制度，强化部门财务管理，严格预算执行。</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各项支出严格按照北京市财政局预算批复的支出范围、开支标准以及《北京市妇联财务管理制度》执行。各项资金支出按照“逐级申报、逐级审批、合理授权”的方式，严格执行内部控制规范和支出审批程序。对于单项或批量金额在15万元（含）以上的公务支出，实行大额资金支出集体决策制度，保证资金支出的合规性、安全性。</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3.会计基础信息完善性</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根据政府会计改革要求，实行新政府会计准则和制度。严格按照《财政部关于贯彻实施政府会计准则制度的通知》和市级财政工作要求设置会计账簿，根据实际发生的经济事项进行会计核算，填制会计凭证，登记会计账簿，编制财务会计报告。定期或者不定期对资产进行账务清理、对实物进行清查盘点。办公室财务负责往来款项的日常管理，设立登记往来款项的备查账，对现已形成的债权债务进行定期清理，并对往来款项的性质予以归类。通过登记固定资产台账、及时编制会计凭证，登记会计账簿、编制财务报告等会计基础工作，保证会计基础信息资料真实、完整。</w:t>
      </w:r>
    </w:p>
    <w:p>
      <w:pPr>
        <w:spacing w:line="600" w:lineRule="exact"/>
        <w:ind w:firstLine="640" w:firstLineChars="200"/>
        <w:outlineLvl w:val="1"/>
        <w:rPr>
          <w:rFonts w:ascii="楷体" w:hAnsi="楷体" w:eastAsia="楷体"/>
          <w:sz w:val="32"/>
          <w:szCs w:val="32"/>
        </w:rPr>
      </w:pPr>
      <w:bookmarkStart w:id="9" w:name="_Toc25789"/>
      <w:r>
        <w:rPr>
          <w:rFonts w:hint="eastAsia" w:ascii="楷体" w:hAnsi="楷体" w:eastAsia="楷体"/>
          <w:sz w:val="32"/>
          <w:szCs w:val="32"/>
        </w:rPr>
        <w:t>（二）资产管理</w:t>
      </w:r>
      <w:bookmarkEnd w:id="9"/>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1.资产总体情况</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截至2022年12月31日，市妇联资产总额账面净值2,265.25万元，其中：货币资金430.10万元，财政应返还额度585.94万元，其他应收款净额22.70万元，固定资产净值884.80万元，无形资产净值338.81万元，受托代理资产2.90万元，无在建工程。</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固定资产净值884.80万元，其中房屋和构筑物180.35万元，占固定资产的20.38%（其中，房屋180.35万元，占固定资产的20.38%）；设备469.19万元，占固定资产的53.03%，其中车辆为0万元；图书档案129.71万元，占固定资产的14.66%；家具和用具105.55万元，占固定资产的11.93%。</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市妇联自用固定资产原值2,174.54万元，占账面固定资产总额的100.00%，其中，在用2,149.82万元，占账面固定资产总额的98.86%；待处置（待报废、毁损等）24.72万元，占账面固定资产总额的1.14%。</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市妇联自用无形资产508.59万元，全部在用，无出租出借无形资产。</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市妇联处置资产95.93万元，全部为固定资产，处置形式为报废。</w:t>
      </w:r>
    </w:p>
    <w:p>
      <w:pPr>
        <w:ind w:firstLine="643" w:firstLineChars="200"/>
        <w:rPr>
          <w:rFonts w:ascii="仿宋_GB2312" w:hAnsi="楷体" w:eastAsia="仿宋_GB2312"/>
          <w:b/>
          <w:kern w:val="0"/>
          <w:sz w:val="32"/>
          <w:szCs w:val="28"/>
        </w:rPr>
      </w:pPr>
      <w:r>
        <w:rPr>
          <w:rFonts w:hint="eastAsia" w:ascii="仿宋_GB2312" w:hAnsi="楷体" w:eastAsia="仿宋_GB2312"/>
          <w:b/>
          <w:kern w:val="0"/>
          <w:sz w:val="32"/>
          <w:szCs w:val="28"/>
        </w:rPr>
        <w:t>2.资产管理制度及过程管理情况</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在资产管理制度建立方面，市妇联制定《北京市妇女联合会固定资产管理办法》，明确固定资产配置、计价、验收和登记、日常管理、盘点、处置、清查等工作内容，严格规范固定资产管理。</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在资产管理方面，市妇联严格执行资产管理规定与工作要求，一是进一步完善固定资产申请购买、入库、领用、转移及报废的各项手续材料，确保做到“精准管理”“有效管理”。二是认真贯彻落实相关部门有关要求，及时开展固定资产核实清查工作，对机关固定资产使用留存状况进行登记清查，做到摸清家底，全面掌握底数，确保账实相符。对现有固定资产留置、待报废进行进行分类，做好实物资产的管理与处置工作。三是做到增强管理意识、加强日常管理、及时登记账卡、落实管理责任，不断健全管理体制，明确部门职责。</w:t>
      </w:r>
    </w:p>
    <w:p>
      <w:pPr>
        <w:spacing w:line="600" w:lineRule="exact"/>
        <w:ind w:firstLine="640" w:firstLineChars="200"/>
        <w:outlineLvl w:val="1"/>
        <w:rPr>
          <w:rFonts w:ascii="楷体" w:hAnsi="楷体" w:eastAsia="楷体"/>
          <w:sz w:val="32"/>
          <w:szCs w:val="32"/>
        </w:rPr>
      </w:pPr>
      <w:bookmarkStart w:id="10" w:name="_Toc29375"/>
      <w:r>
        <w:rPr>
          <w:rFonts w:hint="eastAsia" w:ascii="楷体" w:hAnsi="楷体" w:eastAsia="楷体"/>
          <w:sz w:val="32"/>
          <w:szCs w:val="32"/>
        </w:rPr>
        <w:t>（三）绩效</w:t>
      </w:r>
      <w:r>
        <w:rPr>
          <w:rFonts w:ascii="楷体" w:hAnsi="楷体" w:eastAsia="楷体"/>
          <w:sz w:val="32"/>
          <w:szCs w:val="32"/>
        </w:rPr>
        <w:t>管理</w:t>
      </w:r>
      <w:bookmarkEnd w:id="10"/>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市妇联按照“预算编制有目标、预算执行有监控、预算完成有评价、评价结果有反馈、反馈结果有应用”的预算绩效管理要求，不断推进实施全面预算绩效管理，强化绩效监控，推进预算与绩效管理一体化。</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一是扎实开展年度预算绩效评价工作，组织实施2021年度项目部门绩效自评。</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二是开展2022年部门预算项目全过程绩效监控，并对重点项目绩效目标阶段性完成情况与预算执行情况进行“双监控”，加大绩效督导，及时纠正偏差；通过预算绩效管理，强化评价分析结果应用，充分发挥财政资金的使用效益，提升预算绩效管理水平。</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三是开展2022年度“信息系统运维类项目（领域）”成本预算绩效分析，对“信息系统运维类项目（领域）”支出的历史成本进行梳理，分析领域内容构成，找出影响成本的关键因素。与绩效目标相结合，按照投入成本、产出质量与效益相匹配对应的原则，全面衡量各项内容的投入成本并进行分析，明确了部分内容的成本定额</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强化了成本绩效意识，为</w:t>
      </w:r>
      <w:r>
        <w:rPr>
          <w:rFonts w:hint="eastAsia" w:ascii="仿宋_GB2312" w:hAnsi="仿宋_GB2312" w:eastAsia="仿宋_GB2312" w:cs="仿宋_GB2312"/>
          <w:kern w:val="0"/>
          <w:sz w:val="32"/>
          <w:szCs w:val="32"/>
          <w:lang w:val="zh-CN"/>
        </w:rPr>
        <w:t>实现“预算安排核成本、资金使用有规范、综合考评讲绩效”的预算管理模式</w:t>
      </w:r>
      <w:r>
        <w:rPr>
          <w:rFonts w:hint="eastAsia" w:ascii="仿宋_GB2312" w:hAnsi="仿宋_GB2312" w:eastAsia="仿宋_GB2312" w:cs="仿宋_GB2312"/>
          <w:kern w:val="0"/>
          <w:sz w:val="32"/>
          <w:szCs w:val="32"/>
        </w:rPr>
        <w:t>奠定基础</w:t>
      </w:r>
      <w:r>
        <w:rPr>
          <w:rFonts w:hint="eastAsia" w:ascii="仿宋_GB2312" w:hAnsi="仿宋_GB2312" w:eastAsia="仿宋_GB2312" w:cs="仿宋_GB2312"/>
          <w:sz w:val="32"/>
          <w:szCs w:val="32"/>
        </w:rPr>
        <w:t>。</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本次绩效评价工作，市妇联按照《北京市财政局关于2023年推进全面实施预算绩效管理工作的预通知》工作安排，对33个部门预算项目采取单位自评方式开展绩效评价，出具项目支出绩效自评表；对“妇女宣传思想政治引领”项目开展部门评价，出具绩效评价报告。从总体评价结果来看，各项目能够较好地按照预算申报的情况完成，绩效目标设定较为合理，各项目绩效目标及指标的完成情况较好，项目执行过程比较规范，项目效果基本达到预定目标。</w:t>
      </w:r>
    </w:p>
    <w:p>
      <w:pPr>
        <w:spacing w:line="600" w:lineRule="exact"/>
        <w:ind w:firstLine="640" w:firstLineChars="200"/>
        <w:outlineLvl w:val="1"/>
        <w:rPr>
          <w:rFonts w:ascii="楷体" w:hAnsi="楷体" w:eastAsia="楷体"/>
          <w:sz w:val="32"/>
          <w:szCs w:val="32"/>
        </w:rPr>
      </w:pPr>
      <w:bookmarkStart w:id="11" w:name="_Toc25942"/>
      <w:r>
        <w:rPr>
          <w:rFonts w:hint="eastAsia" w:ascii="楷体" w:hAnsi="楷体" w:eastAsia="楷体"/>
          <w:sz w:val="32"/>
          <w:szCs w:val="32"/>
        </w:rPr>
        <w:t>（四）结转结余率</w:t>
      </w:r>
      <w:bookmarkEnd w:id="11"/>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市妇联2022年全年预算批复数10,186.58万元，结转结余585.94万元，结转结余率为5.75%，较上年结转结余率11.03%低5.28%。</w:t>
      </w:r>
      <w:r>
        <w:rPr>
          <w:rFonts w:hint="eastAsia" w:ascii="仿宋_GB2312" w:hAnsi="仿宋" w:eastAsia="仿宋_GB2312"/>
          <w:sz w:val="32"/>
          <w:szCs w:val="32"/>
        </w:rPr>
        <w:t>2022年全部为财政拨款资金结转结余，其中基本经费结转398.95万元，项目经费结转和结余186.99万元。</w:t>
      </w:r>
    </w:p>
    <w:p>
      <w:pPr>
        <w:spacing w:line="600" w:lineRule="exact"/>
        <w:ind w:firstLine="640" w:firstLineChars="200"/>
        <w:outlineLvl w:val="1"/>
        <w:rPr>
          <w:rFonts w:ascii="楷体" w:hAnsi="楷体" w:eastAsia="楷体"/>
          <w:sz w:val="32"/>
          <w:szCs w:val="32"/>
        </w:rPr>
      </w:pPr>
      <w:bookmarkStart w:id="12" w:name="_Toc23591"/>
      <w:r>
        <w:rPr>
          <w:rFonts w:hint="eastAsia" w:ascii="楷体" w:hAnsi="楷体" w:eastAsia="楷体"/>
          <w:sz w:val="32"/>
          <w:szCs w:val="32"/>
        </w:rPr>
        <w:t>（五）部门</w:t>
      </w:r>
      <w:r>
        <w:rPr>
          <w:rFonts w:ascii="楷体" w:hAnsi="楷体" w:eastAsia="楷体"/>
          <w:sz w:val="32"/>
          <w:szCs w:val="32"/>
        </w:rPr>
        <w:t>预决算差异率</w:t>
      </w:r>
      <w:bookmarkEnd w:id="12"/>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市妇联2022年初预算10,078.43万元，年度决算10,186.58万元，预决算差异率为1.07%，低于市级平均差异率（28.30%）。部门预决算差异率控制情况较好。</w:t>
      </w:r>
    </w:p>
    <w:p>
      <w:pPr>
        <w:spacing w:line="600" w:lineRule="exact"/>
        <w:ind w:firstLine="640" w:firstLineChars="200"/>
        <w:outlineLvl w:val="0"/>
        <w:rPr>
          <w:rFonts w:ascii="黑体" w:hAnsi="黑体" w:eastAsia="黑体" w:cs="宋体"/>
          <w:color w:val="000000"/>
          <w:kern w:val="0"/>
          <w:sz w:val="32"/>
          <w:szCs w:val="32"/>
        </w:rPr>
      </w:pPr>
      <w:bookmarkStart w:id="13" w:name="_Toc24231"/>
      <w:r>
        <w:rPr>
          <w:rFonts w:hint="eastAsia" w:ascii="黑体" w:hAnsi="黑体" w:eastAsia="黑体" w:cs="宋体"/>
          <w:color w:val="000000"/>
          <w:kern w:val="0"/>
          <w:sz w:val="32"/>
          <w:szCs w:val="32"/>
        </w:rPr>
        <w:t>五、总体</w:t>
      </w:r>
      <w:r>
        <w:rPr>
          <w:rFonts w:ascii="黑体" w:hAnsi="黑体" w:eastAsia="黑体" w:cs="宋体"/>
          <w:color w:val="000000"/>
          <w:kern w:val="0"/>
          <w:sz w:val="32"/>
          <w:szCs w:val="32"/>
        </w:rPr>
        <w:t>评价结论</w:t>
      </w:r>
      <w:bookmarkEnd w:id="13"/>
    </w:p>
    <w:p>
      <w:pPr>
        <w:spacing w:line="600" w:lineRule="exact"/>
        <w:ind w:firstLine="640" w:firstLineChars="200"/>
        <w:outlineLvl w:val="1"/>
        <w:rPr>
          <w:rFonts w:ascii="楷体" w:hAnsi="楷体" w:eastAsia="楷体"/>
          <w:sz w:val="32"/>
          <w:szCs w:val="32"/>
        </w:rPr>
      </w:pPr>
      <w:bookmarkStart w:id="14" w:name="_Toc27202"/>
      <w:r>
        <w:rPr>
          <w:rFonts w:hint="eastAsia" w:ascii="楷体" w:hAnsi="楷体" w:eastAsia="楷体"/>
          <w:sz w:val="32"/>
          <w:szCs w:val="32"/>
        </w:rPr>
        <w:t>（一）评价</w:t>
      </w:r>
      <w:r>
        <w:rPr>
          <w:rFonts w:ascii="楷体" w:hAnsi="楷体" w:eastAsia="楷体"/>
          <w:sz w:val="32"/>
          <w:szCs w:val="32"/>
        </w:rPr>
        <w:t>得分</w:t>
      </w:r>
      <w:r>
        <w:rPr>
          <w:rFonts w:hint="eastAsia" w:ascii="楷体" w:hAnsi="楷体" w:eastAsia="楷体"/>
          <w:sz w:val="32"/>
          <w:szCs w:val="32"/>
        </w:rPr>
        <w:t>情况</w:t>
      </w:r>
      <w:bookmarkEnd w:id="14"/>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经评价，市妇联2022年度部门整体支出绩效评价总得分87.45分，评价结果为“良好”。其中当年预算执行情况得分18.85分；整体绩效目标实现情况得分51.10分；预算管理情况得分17.50分。</w:t>
      </w:r>
    </w:p>
    <w:p>
      <w:pPr>
        <w:spacing w:line="600" w:lineRule="exact"/>
        <w:ind w:firstLine="640" w:firstLineChars="200"/>
        <w:outlineLvl w:val="1"/>
        <w:rPr>
          <w:rFonts w:ascii="楷体" w:hAnsi="楷体" w:eastAsia="楷体"/>
          <w:sz w:val="32"/>
          <w:szCs w:val="32"/>
        </w:rPr>
      </w:pPr>
      <w:bookmarkStart w:id="15" w:name="_Toc30285"/>
      <w:r>
        <w:rPr>
          <w:rFonts w:hint="eastAsia" w:ascii="楷体" w:hAnsi="楷体" w:eastAsia="楷体"/>
          <w:sz w:val="32"/>
          <w:szCs w:val="32"/>
        </w:rPr>
        <w:t>（二）存在的问题</w:t>
      </w:r>
      <w:bookmarkEnd w:id="15"/>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部门整体绩效目标设置不够细化，目标与部门职责职能和预算、重点工作任务的结合紧密度不够；部门整体绩效指标均为定性指标，缺乏细化、量化、可考核性；部门决策依据的充分性待提高，项目预算申报普遍存在缺少数量、单价和收费标准相关依据。</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2.个别项目子内容较多，仅制定子项目的活动方案，未建立项目整体实施方案，缺乏对项目实施的统筹和指导作用。部分项目活动方案缺少项目管理要求、预期风险应对措施等内容，方案内容完整性有待加强。</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3.呈现项目效益效果的有效证明资料不够充分，部分项目预算绩效信息收集及时性和完整性有待提高；部分项目满意度调查工作开展不够充分，不能体现通过项目实施以及开展各项活动受益服务对象的满意程度。</w:t>
      </w:r>
    </w:p>
    <w:p>
      <w:pPr>
        <w:spacing w:line="600" w:lineRule="exact"/>
        <w:ind w:firstLine="640" w:firstLineChars="200"/>
        <w:outlineLvl w:val="0"/>
        <w:rPr>
          <w:rFonts w:ascii="黑体" w:hAnsi="黑体" w:eastAsia="黑体" w:cs="宋体"/>
          <w:color w:val="000000"/>
          <w:kern w:val="0"/>
          <w:sz w:val="32"/>
          <w:szCs w:val="32"/>
        </w:rPr>
      </w:pPr>
      <w:bookmarkStart w:id="16" w:name="_Toc19720"/>
      <w:r>
        <w:rPr>
          <w:rFonts w:hint="eastAsia" w:ascii="黑体" w:hAnsi="黑体" w:eastAsia="黑体" w:cs="宋体"/>
          <w:color w:val="000000"/>
          <w:kern w:val="0"/>
          <w:sz w:val="32"/>
          <w:szCs w:val="32"/>
        </w:rPr>
        <w:t>六、措施建议</w:t>
      </w:r>
      <w:bookmarkEnd w:id="16"/>
    </w:p>
    <w:p>
      <w:pPr>
        <w:ind w:firstLine="640" w:firstLineChars="200"/>
        <w:rPr>
          <w:rFonts w:ascii="仿宋_GB2312" w:hAnsi="楷体" w:eastAsia="仿宋_GB2312"/>
          <w:bCs/>
          <w:kern w:val="0"/>
          <w:sz w:val="32"/>
          <w:szCs w:val="28"/>
        </w:rPr>
      </w:pPr>
      <w:bookmarkStart w:id="17" w:name="_Toc72401385"/>
      <w:r>
        <w:rPr>
          <w:rFonts w:hint="eastAsia" w:ascii="仿宋_GB2312" w:hAnsi="楷体" w:eastAsia="仿宋_GB2312"/>
          <w:bCs/>
          <w:kern w:val="0"/>
          <w:sz w:val="32"/>
          <w:szCs w:val="28"/>
        </w:rPr>
        <w:t>1.进一步提高绩效管理意识，加强绩效目标管理，绩效目标设置与部门职责职能和预算、重点工作任务紧密结合，指标设置应对应年度履职的重点项目任务细化、量化，增强可考核性；加强项目决策过程科学、规范性，提高项目资金测算的合理性；加强项目预算评审，严格审核项目资金的测算依据和标准，提高项目预算编制科学性。</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健全完善项目实施方案。根据项目以前年度实施情况或预期计划，制定项目整体实施方案，发挥整体方案的指导意义。加强项目活动方案的完整性，按项目管理要求明确项目实施目的、内容、组织方式、组织机构和职责分工，以及管理控制措施和预期风险应对措施等，并逐步制定可替代方案，加强项目统筹和顶层设计。</w:t>
      </w:r>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3.注重部门整体和项目预算绩效过程资料的收集、分析，提高资料收集的及时性和完整性。</w:t>
      </w:r>
      <w:bookmarkEnd w:id="17"/>
      <w:r>
        <w:rPr>
          <w:rFonts w:hint="eastAsia" w:ascii="仿宋_GB2312" w:hAnsi="楷体" w:eastAsia="仿宋_GB2312"/>
          <w:bCs/>
          <w:kern w:val="0"/>
          <w:sz w:val="32"/>
          <w:szCs w:val="28"/>
        </w:rPr>
        <w:t>特别要注重对项目质量和效益的挖掘，用效果资料和数据来支撑项目效益。精准定位项目服务对象，选择适当的方式、方法开展服务对象满意度调查及分析，充分反映项目服务对象满意程度。</w:t>
      </w:r>
    </w:p>
    <w:p>
      <w:pPr>
        <w:spacing w:line="600" w:lineRule="exact"/>
        <w:ind w:firstLine="640" w:firstLineChars="200"/>
        <w:outlineLvl w:val="0"/>
        <w:rPr>
          <w:rFonts w:ascii="黑体" w:hAnsi="黑体" w:eastAsia="黑体" w:cs="宋体"/>
          <w:color w:val="000000"/>
          <w:kern w:val="0"/>
          <w:sz w:val="32"/>
          <w:szCs w:val="32"/>
        </w:rPr>
      </w:pPr>
      <w:bookmarkStart w:id="18" w:name="_Toc492"/>
      <w:r>
        <w:rPr>
          <w:rFonts w:hint="eastAsia" w:ascii="黑体" w:hAnsi="黑体" w:eastAsia="黑体" w:cs="宋体"/>
          <w:color w:val="000000"/>
          <w:kern w:val="0"/>
          <w:sz w:val="32"/>
          <w:szCs w:val="32"/>
        </w:rPr>
        <w:t>七、附件</w:t>
      </w:r>
      <w:bookmarkEnd w:id="18"/>
    </w:p>
    <w:p>
      <w:pPr>
        <w:ind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2022年部门整体绩效评价指标体系评分表</w:t>
      </w:r>
    </w:p>
    <w:p>
      <w:pPr>
        <w:widowControl/>
        <w:jc w:val="center"/>
        <w:rPr>
          <w:rFonts w:ascii="方正小标宋简体" w:hAnsi="黑体" w:eastAsia="方正小标宋简体" w:cs="宋体"/>
          <w:color w:val="000000"/>
          <w:kern w:val="0"/>
          <w:sz w:val="44"/>
          <w:szCs w:val="44"/>
        </w:rPr>
      </w:pPr>
    </w:p>
    <w:p>
      <w:pPr>
        <w:pStyle w:val="2"/>
        <w:sectPr>
          <w:footerReference r:id="rId3" w:type="first"/>
          <w:pgSz w:w="11906" w:h="16838"/>
          <w:pgMar w:top="1440" w:right="1800" w:bottom="1440" w:left="1800" w:header="851" w:footer="992" w:gutter="0"/>
          <w:pgNumType w:start="1"/>
          <w:cols w:space="425" w:num="1"/>
          <w:titlePg/>
          <w:docGrid w:type="lines" w:linePitch="312" w:charSpace="0"/>
        </w:sectPr>
      </w:pPr>
    </w:p>
    <w:p>
      <w:pPr>
        <w:spacing w:line="20" w:lineRule="exact"/>
        <w:ind w:left="-21" w:leftChars="-10" w:right="42" w:rightChars="20"/>
      </w:pPr>
    </w:p>
    <w:p>
      <w:pPr>
        <w:rPr>
          <w:rFonts w:ascii="黑体" w:hAnsi="黑体" w:eastAsia="黑体"/>
          <w:sz w:val="32"/>
          <w:szCs w:val="32"/>
        </w:rPr>
      </w:pPr>
      <w:r>
        <w:rPr>
          <w:rFonts w:hint="eastAsia" w:ascii="黑体" w:hAnsi="黑体" w:eastAsia="黑体"/>
          <w:sz w:val="32"/>
          <w:szCs w:val="32"/>
        </w:rPr>
        <w:t>附件</w:t>
      </w:r>
    </w:p>
    <w:p>
      <w:pPr>
        <w:spacing w:line="600" w:lineRule="exact"/>
        <w:jc w:val="center"/>
        <w:rPr>
          <w:rFonts w:ascii="仿宋_GB2312" w:hAnsi="宋体" w:eastAsia="仿宋_GB2312" w:cs="宋体"/>
          <w:color w:val="000000"/>
          <w:kern w:val="0"/>
          <w:sz w:val="32"/>
          <w:szCs w:val="32"/>
        </w:rPr>
      </w:pPr>
      <w:r>
        <w:rPr>
          <w:rFonts w:hint="eastAsia" w:ascii="方正小标宋简体" w:hAnsi="黑体" w:eastAsia="方正小标宋简体" w:cs="宋体"/>
          <w:color w:val="000000"/>
          <w:kern w:val="0"/>
          <w:sz w:val="44"/>
          <w:szCs w:val="44"/>
        </w:rPr>
        <w:t>2022年部门整体绩效评价指标体系评分表</w:t>
      </w:r>
    </w:p>
    <w:tbl>
      <w:tblPr>
        <w:tblStyle w:val="19"/>
        <w:tblW w:w="14245" w:type="dxa"/>
        <w:tblInd w:w="0" w:type="dxa"/>
        <w:tblLayout w:type="fixed"/>
        <w:tblCellMar>
          <w:top w:w="0" w:type="dxa"/>
          <w:left w:w="108" w:type="dxa"/>
          <w:bottom w:w="0" w:type="dxa"/>
          <w:right w:w="108" w:type="dxa"/>
        </w:tblCellMar>
      </w:tblPr>
      <w:tblGrid>
        <w:gridCol w:w="957"/>
        <w:gridCol w:w="98"/>
        <w:gridCol w:w="740"/>
        <w:gridCol w:w="7"/>
        <w:gridCol w:w="482"/>
        <w:gridCol w:w="369"/>
        <w:gridCol w:w="11"/>
        <w:gridCol w:w="1162"/>
        <w:gridCol w:w="158"/>
        <w:gridCol w:w="1364"/>
        <w:gridCol w:w="36"/>
        <w:gridCol w:w="864"/>
        <w:gridCol w:w="293"/>
        <w:gridCol w:w="639"/>
        <w:gridCol w:w="338"/>
        <w:gridCol w:w="377"/>
        <w:gridCol w:w="276"/>
        <w:gridCol w:w="398"/>
        <w:gridCol w:w="35"/>
        <w:gridCol w:w="276"/>
        <w:gridCol w:w="721"/>
        <w:gridCol w:w="1411"/>
        <w:gridCol w:w="235"/>
        <w:gridCol w:w="1471"/>
        <w:gridCol w:w="20"/>
        <w:gridCol w:w="1507"/>
      </w:tblGrid>
      <w:tr>
        <w:tblPrEx>
          <w:tblLayout w:type="fixed"/>
          <w:tblCellMar>
            <w:top w:w="0" w:type="dxa"/>
            <w:left w:w="108" w:type="dxa"/>
            <w:bottom w:w="0" w:type="dxa"/>
            <w:right w:w="108" w:type="dxa"/>
          </w:tblCellMar>
        </w:tblPrEx>
        <w:trPr>
          <w:trHeight w:val="470" w:hRule="atLeast"/>
        </w:trPr>
        <w:tc>
          <w:tcPr>
            <w:tcW w:w="14245" w:type="dxa"/>
            <w:gridSpan w:val="26"/>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一、</w:t>
            </w:r>
            <w:r>
              <w:rPr>
                <w:rFonts w:hint="eastAsia" w:ascii="宋体" w:hAnsi="宋体" w:cs="宋体"/>
                <w:b/>
                <w:bCs/>
                <w:color w:val="000000"/>
                <w:kern w:val="0"/>
                <w:sz w:val="20"/>
                <w:szCs w:val="20"/>
              </w:rPr>
              <w:t>当年预算执行情况（20分）</w:t>
            </w:r>
          </w:p>
        </w:tc>
      </w:tr>
      <w:tr>
        <w:tblPrEx>
          <w:tblLayout w:type="fixed"/>
          <w:tblCellMar>
            <w:top w:w="0" w:type="dxa"/>
            <w:left w:w="108" w:type="dxa"/>
            <w:bottom w:w="0" w:type="dxa"/>
            <w:right w:w="108" w:type="dxa"/>
          </w:tblCellMar>
        </w:tblPrEx>
        <w:trPr>
          <w:trHeight w:val="660" w:hRule="atLeast"/>
        </w:trPr>
        <w:tc>
          <w:tcPr>
            <w:tcW w:w="105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r>
              <w:rPr>
                <w:rFonts w:ascii="宋体" w:hAnsi="宋体" w:cs="宋体"/>
                <w:b/>
                <w:bCs/>
                <w:color w:val="000000"/>
                <w:kern w:val="0"/>
                <w:sz w:val="20"/>
                <w:szCs w:val="20"/>
              </w:rPr>
              <w:t>级指标</w:t>
            </w:r>
            <w:r>
              <w:rPr>
                <w:rFonts w:hint="eastAsia" w:ascii="宋体" w:hAnsi="宋体" w:cs="宋体"/>
                <w:b/>
                <w:bCs/>
                <w:color w:val="000000"/>
                <w:kern w:val="0"/>
                <w:sz w:val="20"/>
                <w:szCs w:val="20"/>
              </w:rPr>
              <w:t>　</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w:t>
            </w:r>
            <w:r>
              <w:rPr>
                <w:rFonts w:ascii="宋体" w:hAnsi="宋体" w:cs="宋体"/>
                <w:b/>
                <w:bCs/>
                <w:color w:val="000000"/>
                <w:kern w:val="0"/>
                <w:sz w:val="20"/>
                <w:szCs w:val="20"/>
              </w:rPr>
              <w:t>级指标</w:t>
            </w:r>
            <w:r>
              <w:rPr>
                <w:rFonts w:hint="eastAsia" w:ascii="宋体" w:hAnsi="宋体" w:cs="宋体"/>
                <w:b/>
                <w:bCs/>
                <w:color w:val="000000"/>
                <w:kern w:val="0"/>
                <w:sz w:val="20"/>
                <w:szCs w:val="20"/>
              </w:rPr>
              <w:t>　</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预算数（万元）</w:t>
            </w:r>
          </w:p>
        </w:tc>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执行数（万元）</w:t>
            </w:r>
          </w:p>
        </w:tc>
        <w:tc>
          <w:tcPr>
            <w:tcW w:w="11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预算执行率</w:t>
            </w:r>
          </w:p>
        </w:tc>
        <w:tc>
          <w:tcPr>
            <w:tcW w:w="9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0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267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指标解释</w:t>
            </w:r>
          </w:p>
        </w:tc>
        <w:tc>
          <w:tcPr>
            <w:tcW w:w="299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评分标准</w:t>
            </w:r>
          </w:p>
        </w:tc>
      </w:tr>
      <w:tr>
        <w:tblPrEx>
          <w:tblLayout w:type="fixed"/>
          <w:tblCellMar>
            <w:top w:w="0" w:type="dxa"/>
            <w:left w:w="108" w:type="dxa"/>
            <w:bottom w:w="0" w:type="dxa"/>
            <w:right w:w="108" w:type="dxa"/>
          </w:tblCellMar>
        </w:tblPrEx>
        <w:trPr>
          <w:trHeight w:val="1361" w:hRule="atLeast"/>
        </w:trPr>
        <w:tc>
          <w:tcPr>
            <w:tcW w:w="1055"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1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10,186.58</w:t>
            </w:r>
          </w:p>
        </w:tc>
        <w:tc>
          <w:tcPr>
            <w:tcW w:w="155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9,600.64</w:t>
            </w:r>
          </w:p>
        </w:tc>
        <w:tc>
          <w:tcPr>
            <w:tcW w:w="115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94.25%　</w:t>
            </w:r>
          </w:p>
        </w:tc>
        <w:tc>
          <w:tcPr>
            <w:tcW w:w="97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1"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18.85　</w:t>
            </w:r>
          </w:p>
        </w:tc>
        <w:tc>
          <w:tcPr>
            <w:tcW w:w="2678"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2998" w:type="dxa"/>
            <w:gridSpan w:val="3"/>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Layout w:type="fixed"/>
          <w:tblCellMar>
            <w:top w:w="0" w:type="dxa"/>
            <w:left w:w="108" w:type="dxa"/>
            <w:bottom w:w="0" w:type="dxa"/>
            <w:right w:w="108" w:type="dxa"/>
          </w:tblCellMar>
        </w:tblPrEx>
        <w:trPr>
          <w:trHeight w:val="1361" w:hRule="atLeast"/>
        </w:trPr>
        <w:tc>
          <w:tcPr>
            <w:tcW w:w="105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29"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6,317.70</w:t>
            </w:r>
          </w:p>
        </w:tc>
        <w:tc>
          <w:tcPr>
            <w:tcW w:w="15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5,918.75</w:t>
            </w:r>
          </w:p>
        </w:tc>
        <w:tc>
          <w:tcPr>
            <w:tcW w:w="115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51" w:type="dxa"/>
            <w:gridSpan w:val="3"/>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67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361" w:hRule="atLeast"/>
        </w:trPr>
        <w:tc>
          <w:tcPr>
            <w:tcW w:w="105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229" w:type="dxa"/>
            <w:gridSpan w:val="3"/>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3,868.88</w:t>
            </w:r>
          </w:p>
        </w:tc>
        <w:tc>
          <w:tcPr>
            <w:tcW w:w="15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3,681.89</w:t>
            </w: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51" w:type="dxa"/>
            <w:gridSpan w:val="3"/>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67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361" w:hRule="atLeast"/>
        </w:trPr>
        <w:tc>
          <w:tcPr>
            <w:tcW w:w="105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154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558"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0.00</w:t>
            </w:r>
          </w:p>
        </w:tc>
        <w:tc>
          <w:tcPr>
            <w:tcW w:w="115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97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51" w:type="dxa"/>
            <w:gridSpan w:val="3"/>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2678"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99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245" w:type="dxa"/>
            <w:gridSpan w:val="2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二</w:t>
            </w:r>
            <w:r>
              <w:rPr>
                <w:rFonts w:ascii="宋体" w:hAnsi="宋体" w:cs="宋体"/>
                <w:b/>
                <w:bCs/>
                <w:color w:val="000000"/>
                <w:kern w:val="0"/>
                <w:sz w:val="18"/>
                <w:szCs w:val="18"/>
              </w:rPr>
              <w:t>、</w:t>
            </w:r>
            <w:r>
              <w:rPr>
                <w:rFonts w:hint="eastAsia" w:ascii="宋体" w:hAnsi="宋体" w:cs="宋体"/>
                <w:b/>
                <w:bCs/>
                <w:color w:val="000000"/>
                <w:kern w:val="0"/>
                <w:sz w:val="20"/>
                <w:szCs w:val="20"/>
              </w:rPr>
              <w:t>整体绩效目标实现情况（60分）</w:t>
            </w:r>
          </w:p>
        </w:tc>
      </w:tr>
      <w:tr>
        <w:tblPrEx>
          <w:tblLayout w:type="fixed"/>
          <w:tblCellMar>
            <w:top w:w="0" w:type="dxa"/>
            <w:left w:w="108" w:type="dxa"/>
            <w:bottom w:w="0" w:type="dxa"/>
            <w:right w:w="108" w:type="dxa"/>
          </w:tblCellMar>
        </w:tblPrEx>
        <w:trPr>
          <w:trHeight w:val="499"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r>
              <w:rPr>
                <w:rFonts w:ascii="宋体" w:hAnsi="宋体" w:cs="宋体"/>
                <w:b/>
                <w:bCs/>
                <w:color w:val="000000"/>
                <w:kern w:val="0"/>
                <w:sz w:val="20"/>
                <w:szCs w:val="20"/>
              </w:rPr>
              <w:t>级</w:t>
            </w:r>
          </w:p>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w:t>
            </w:r>
          </w:p>
        </w:tc>
        <w:tc>
          <w:tcPr>
            <w:tcW w:w="845"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w:t>
            </w:r>
            <w:r>
              <w:rPr>
                <w:rFonts w:ascii="宋体" w:hAnsi="宋体" w:cs="宋体"/>
                <w:b/>
                <w:bCs/>
                <w:color w:val="000000"/>
                <w:kern w:val="0"/>
                <w:sz w:val="20"/>
                <w:szCs w:val="20"/>
              </w:rPr>
              <w:t>级</w:t>
            </w:r>
          </w:p>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w:t>
            </w:r>
            <w:r>
              <w:rPr>
                <w:rFonts w:hint="eastAsia" w:ascii="宋体" w:hAnsi="宋体" w:cs="宋体"/>
                <w:b/>
                <w:bCs/>
                <w:color w:val="000000"/>
                <w:kern w:val="0"/>
                <w:sz w:val="20"/>
                <w:szCs w:val="20"/>
              </w:rPr>
              <w:t>　</w:t>
            </w: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w:t>
            </w:r>
            <w:r>
              <w:rPr>
                <w:rFonts w:ascii="宋体" w:hAnsi="宋体" w:cs="宋体"/>
                <w:b/>
                <w:bCs/>
                <w:color w:val="000000"/>
                <w:kern w:val="0"/>
                <w:sz w:val="20"/>
                <w:szCs w:val="20"/>
              </w:rPr>
              <w:t>级</w:t>
            </w:r>
          </w:p>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w:t>
            </w:r>
            <w:r>
              <w:rPr>
                <w:rFonts w:hint="eastAsia" w:ascii="宋体" w:hAnsi="宋体" w:cs="宋体"/>
                <w:b/>
                <w:bCs/>
                <w:color w:val="000000"/>
                <w:kern w:val="0"/>
                <w:sz w:val="20"/>
                <w:szCs w:val="20"/>
              </w:rPr>
              <w:t>　</w:t>
            </w: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完成值</w:t>
            </w:r>
          </w:p>
        </w:tc>
        <w:tc>
          <w:tcPr>
            <w:tcW w:w="70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721" w:type="dxa"/>
            <w:tcBorders>
              <w:top w:val="single" w:color="auto" w:sz="4" w:space="0"/>
              <w:left w:val="nil"/>
              <w:bottom w:val="single" w:color="auto" w:sz="4" w:space="0"/>
              <w:right w:val="nil"/>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313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r>
              <w:rPr>
                <w:rFonts w:ascii="宋体" w:hAnsi="宋体" w:cs="宋体"/>
                <w:b/>
                <w:bCs/>
                <w:color w:val="000000"/>
                <w:kern w:val="0"/>
                <w:sz w:val="18"/>
                <w:szCs w:val="18"/>
              </w:rPr>
              <w:t>解释</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w:t>
            </w:r>
            <w:r>
              <w:rPr>
                <w:rFonts w:ascii="宋体" w:hAnsi="宋体" w:cs="宋体"/>
                <w:b/>
                <w:bCs/>
                <w:color w:val="000000"/>
                <w:kern w:val="0"/>
                <w:sz w:val="18"/>
                <w:szCs w:val="18"/>
              </w:rPr>
              <w:t>分标准</w:t>
            </w:r>
          </w:p>
        </w:tc>
      </w:tr>
      <w:tr>
        <w:tblPrEx>
          <w:tblLayout w:type="fixed"/>
          <w:tblCellMar>
            <w:top w:w="0" w:type="dxa"/>
            <w:left w:w="108" w:type="dxa"/>
            <w:bottom w:w="0" w:type="dxa"/>
            <w:right w:w="108" w:type="dxa"/>
          </w:tblCellMar>
        </w:tblPrEx>
        <w:trPr>
          <w:trHeight w:val="964"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8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产出</w:t>
            </w:r>
          </w:p>
          <w:p>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p>
          <w:p>
            <w:pPr>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数量</w:t>
            </w:r>
          </w:p>
          <w:p>
            <w:pPr>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全年开展项目数量34个</w:t>
            </w:r>
          </w:p>
        </w:tc>
        <w:tc>
          <w:tcPr>
            <w:tcW w:w="282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34个</w:t>
            </w:r>
          </w:p>
        </w:tc>
        <w:tc>
          <w:tcPr>
            <w:tcW w:w="70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6　</w:t>
            </w:r>
          </w:p>
        </w:tc>
        <w:tc>
          <w:tcPr>
            <w:tcW w:w="3137"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507"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Layout w:type="fixed"/>
          <w:tblCellMar>
            <w:top w:w="0" w:type="dxa"/>
            <w:left w:w="108" w:type="dxa"/>
            <w:bottom w:w="0" w:type="dxa"/>
            <w:right w:w="108" w:type="dxa"/>
          </w:tblCellMar>
        </w:tblPrEx>
        <w:trPr>
          <w:trHeight w:val="1173"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tcBorders>
              <w:top w:val="single" w:color="auto" w:sz="4" w:space="0"/>
              <w:left w:val="nil"/>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质量</w:t>
            </w:r>
          </w:p>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全年项目基本完成预期目标，项目绩效评价等级均为良以上，等级为优的项目≥5个；基本经费保证机构正常运转　</w:t>
            </w:r>
          </w:p>
        </w:tc>
        <w:tc>
          <w:tcPr>
            <w:tcW w:w="282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全年项目基本完成预期目标，项目绩效评价等级均为良以上，等级为优的项目≥14个；基本经费保证机构正常运转　</w:t>
            </w:r>
          </w:p>
        </w:tc>
        <w:tc>
          <w:tcPr>
            <w:tcW w:w="709" w:type="dxa"/>
            <w:gridSpan w:val="3"/>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6　</w:t>
            </w:r>
          </w:p>
        </w:tc>
        <w:tc>
          <w:tcPr>
            <w:tcW w:w="313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64"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进度</w:t>
            </w:r>
          </w:p>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按时完成全年项目</w:t>
            </w:r>
          </w:p>
        </w:tc>
        <w:tc>
          <w:tcPr>
            <w:tcW w:w="282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2022年全年执行，个别项目结转</w:t>
            </w:r>
          </w:p>
        </w:tc>
        <w:tc>
          <w:tcPr>
            <w:tcW w:w="709" w:type="dxa"/>
            <w:gridSpan w:val="3"/>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　</w:t>
            </w:r>
          </w:p>
        </w:tc>
        <w:tc>
          <w:tcPr>
            <w:tcW w:w="313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964" w:hRule="atLeast"/>
        </w:trPr>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成本</w:t>
            </w:r>
          </w:p>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指标</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部门整体预算控制在10,186.58万元以内</w:t>
            </w:r>
          </w:p>
        </w:tc>
        <w:tc>
          <w:tcPr>
            <w:tcW w:w="282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实际预算支出9,600.64万元　</w:t>
            </w:r>
          </w:p>
        </w:tc>
        <w:tc>
          <w:tcPr>
            <w:tcW w:w="709" w:type="dxa"/>
            <w:gridSpan w:val="3"/>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137"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0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75"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851" w:type="dxa"/>
            <w:gridSpan w:val="2"/>
            <w:vMerge w:val="restart"/>
            <w:tcBorders>
              <w:top w:val="single" w:color="auto" w:sz="4" w:space="0"/>
              <w:left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社会</w:t>
            </w:r>
          </w:p>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效益</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宣传男女平等基本国策</w:t>
            </w:r>
          </w:p>
        </w:tc>
        <w:tc>
          <w:tcPr>
            <w:tcW w:w="2823"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达到预期目标　</w:t>
            </w:r>
          </w:p>
        </w:tc>
        <w:tc>
          <w:tcPr>
            <w:tcW w:w="70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72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11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52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Layout w:type="fixed"/>
          <w:tblCellMar>
            <w:top w:w="0" w:type="dxa"/>
            <w:left w:w="108" w:type="dxa"/>
            <w:bottom w:w="0" w:type="dxa"/>
            <w:right w:w="108" w:type="dxa"/>
          </w:tblCellMar>
        </w:tblPrEx>
        <w:trPr>
          <w:trHeight w:val="63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left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基层组织建设力度增强</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进一步增强</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1428"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695" w:type="dxa"/>
            <w:gridSpan w:val="4"/>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18"/>
                <w:szCs w:val="18"/>
              </w:rPr>
            </w:pPr>
            <w:r>
              <w:rPr>
                <w:rFonts w:hint="eastAsia" w:cs="宋体" w:asciiTheme="majorEastAsia" w:hAnsiTheme="majorEastAsia" w:eastAsiaTheme="majorEastAsia"/>
                <w:color w:val="000000"/>
                <w:kern w:val="0"/>
                <w:sz w:val="20"/>
                <w:szCs w:val="20"/>
              </w:rPr>
              <w:t>通过妇女、儿童规划的编制实施督导，推进妇女儿童在教育、健康、社会保障等领域得到全面发展</w:t>
            </w:r>
          </w:p>
        </w:tc>
        <w:tc>
          <w:tcPr>
            <w:tcW w:w="2823" w:type="dxa"/>
            <w:gridSpan w:val="7"/>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18"/>
                <w:szCs w:val="18"/>
              </w:rPr>
            </w:pPr>
            <w:r>
              <w:rPr>
                <w:rFonts w:hint="eastAsia" w:cs="宋体" w:asciiTheme="majorEastAsia" w:hAnsiTheme="majorEastAsia" w:eastAsiaTheme="majorEastAsia"/>
                <w:color w:val="000000"/>
                <w:kern w:val="0"/>
                <w:sz w:val="20"/>
                <w:szCs w:val="20"/>
              </w:rPr>
              <w:t>达到预期目标</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75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left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优秀女性典型示范引领作用</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起到示范引领作用</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84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left w:val="single" w:color="auto" w:sz="4" w:space="0"/>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对口援建、京津冀地区妇女创业就业能力</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得到提升</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1.5</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restart"/>
            <w:tcBorders>
              <w:left w:val="nil"/>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cs="宋体" w:asciiTheme="majorEastAsia" w:hAnsiTheme="majorEastAsia" w:eastAsiaTheme="majorEastAsia"/>
                <w:color w:val="000000"/>
                <w:kern w:val="0"/>
                <w:sz w:val="20"/>
                <w:szCs w:val="20"/>
              </w:rPr>
              <w:t>可持续影响</w:t>
            </w: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巾帼志愿服务影响力增大</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进一步增大影响力</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left w:val="nil"/>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推进家庭支持服务方面</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基本达到预期目标</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left w:val="nil"/>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家庭文明建设引领带动方面</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基本达到预期目标</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2.6</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vMerge w:val="continue"/>
            <w:tcBorders>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p>
        </w:tc>
        <w:tc>
          <w:tcPr>
            <w:tcW w:w="2695"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家庭教育指导服务方面</w:t>
            </w:r>
          </w:p>
        </w:tc>
        <w:tc>
          <w:tcPr>
            <w:tcW w:w="2823" w:type="dxa"/>
            <w:gridSpan w:val="7"/>
            <w:tcBorders>
              <w:top w:val="single" w:color="auto" w:sz="4" w:space="0"/>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asciiTheme="majorEastAsia" w:hAnsiTheme="majorEastAsia" w:eastAsiaTheme="majorEastAsia"/>
                <w:color w:val="000000"/>
                <w:sz w:val="20"/>
                <w:szCs w:val="20"/>
              </w:rPr>
              <w:t>基本达到预期目标</w:t>
            </w:r>
            <w:r>
              <w:rPr>
                <w:rFonts w:hint="eastAsia" w:cs="宋体" w:asciiTheme="majorEastAsia" w:hAnsiTheme="majorEastAsia" w:eastAsiaTheme="majorEastAsia"/>
                <w:color w:val="000000"/>
                <w:kern w:val="0"/>
                <w:sz w:val="20"/>
                <w:szCs w:val="20"/>
              </w:rPr>
              <w:t>　</w:t>
            </w:r>
          </w:p>
        </w:tc>
        <w:tc>
          <w:tcPr>
            <w:tcW w:w="70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single" w:color="auto" w:sz="4" w:space="0"/>
              <w:left w:val="nil"/>
              <w:bottom w:val="single" w:color="auto" w:sz="4" w:space="0"/>
              <w:right w:val="nil"/>
            </w:tcBorders>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11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90"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4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51" w:type="dxa"/>
            <w:gridSpan w:val="2"/>
            <w:tcBorders>
              <w:top w:val="nil"/>
              <w:left w:val="nil"/>
              <w:bottom w:val="single" w:color="auto" w:sz="4" w:space="0"/>
              <w:right w:val="single" w:color="auto" w:sz="4" w:space="0"/>
            </w:tcBorders>
            <w:vAlign w:val="center"/>
          </w:tcPr>
          <w:p>
            <w:pPr>
              <w:widowControl/>
              <w:jc w:val="center"/>
              <w:rPr>
                <w:rFonts w:cs="宋体" w:asciiTheme="majorEastAsia" w:hAnsiTheme="majorEastAsia" w:eastAsiaTheme="majorEastAsia"/>
                <w:color w:val="000000"/>
                <w:kern w:val="0"/>
                <w:sz w:val="20"/>
                <w:szCs w:val="20"/>
              </w:rPr>
            </w:pPr>
            <w:r>
              <w:rPr>
                <w:rFonts w:hint="eastAsia" w:cs="宋体" w:asciiTheme="majorEastAsia" w:hAnsiTheme="majorEastAsia" w:eastAsiaTheme="majorEastAsia"/>
                <w:color w:val="000000"/>
                <w:kern w:val="0"/>
                <w:sz w:val="20"/>
                <w:szCs w:val="20"/>
              </w:rPr>
              <w:t>服务对象满意度</w:t>
            </w:r>
          </w:p>
        </w:tc>
        <w:tc>
          <w:tcPr>
            <w:tcW w:w="2695" w:type="dxa"/>
            <w:gridSpan w:val="4"/>
            <w:tcBorders>
              <w:top w:val="nil"/>
              <w:left w:val="nil"/>
              <w:bottom w:val="single" w:color="auto" w:sz="4" w:space="0"/>
              <w:right w:val="single" w:color="auto" w:sz="4" w:space="0"/>
            </w:tcBorders>
            <w:vAlign w:val="center"/>
          </w:tcPr>
          <w:p>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服务对象满意程度</w:t>
            </w:r>
          </w:p>
        </w:tc>
        <w:tc>
          <w:tcPr>
            <w:tcW w:w="2823" w:type="dxa"/>
            <w:gridSpan w:val="7"/>
            <w:tcBorders>
              <w:top w:val="nil"/>
              <w:left w:val="nil"/>
              <w:bottom w:val="single" w:color="auto" w:sz="4" w:space="0"/>
              <w:right w:val="single" w:color="auto" w:sz="4" w:space="0"/>
            </w:tcBorders>
            <w:vAlign w:val="center"/>
          </w:tcPr>
          <w:p>
            <w:pPr>
              <w:jc w:val="center"/>
              <w:rPr>
                <w:rFonts w:cs="宋体" w:asciiTheme="majorEastAsia" w:hAnsiTheme="majorEastAsia" w:eastAsiaTheme="majorEastAsia"/>
                <w:color w:val="000000"/>
                <w:sz w:val="20"/>
                <w:szCs w:val="20"/>
              </w:rPr>
            </w:pPr>
            <w:r>
              <w:rPr>
                <w:rFonts w:hint="eastAsia" w:asciiTheme="majorEastAsia" w:hAnsiTheme="majorEastAsia" w:eastAsiaTheme="majorEastAsia"/>
                <w:color w:val="000000"/>
                <w:sz w:val="20"/>
                <w:szCs w:val="20"/>
              </w:rPr>
              <w:t>北京市妇联宣传部获评2022年度妇女宣传舆论阵地建设先进单位。</w:t>
            </w:r>
          </w:p>
        </w:tc>
        <w:tc>
          <w:tcPr>
            <w:tcW w:w="70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21" w:type="dxa"/>
            <w:tcBorders>
              <w:top w:val="nil"/>
              <w:left w:val="nil"/>
              <w:bottom w:val="single" w:color="auto" w:sz="4" w:space="0"/>
              <w:right w:val="nil"/>
            </w:tcBorders>
            <w:vAlign w:val="center"/>
          </w:tcPr>
          <w:p>
            <w:pPr>
              <w:jc w:val="center"/>
              <w:rPr>
                <w:rFonts w:cs="宋体"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w:t>
            </w:r>
          </w:p>
        </w:tc>
        <w:tc>
          <w:tcPr>
            <w:tcW w:w="3117"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2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9" w:hRule="atLeast"/>
        </w:trPr>
        <w:tc>
          <w:tcPr>
            <w:tcW w:w="14245" w:type="dxa"/>
            <w:gridSpan w:val="26"/>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三</w:t>
            </w:r>
            <w:r>
              <w:rPr>
                <w:rFonts w:ascii="宋体" w:hAnsi="宋体" w:cs="宋体"/>
                <w:b/>
                <w:bCs/>
                <w:color w:val="000000"/>
                <w:kern w:val="0"/>
                <w:sz w:val="18"/>
                <w:szCs w:val="18"/>
              </w:rPr>
              <w:t>、</w:t>
            </w:r>
            <w:r>
              <w:rPr>
                <w:rFonts w:hint="eastAsia" w:ascii="宋体" w:hAnsi="宋体" w:cs="宋体"/>
                <w:b/>
                <w:bCs/>
                <w:color w:val="000000"/>
                <w:kern w:val="0"/>
                <w:sz w:val="20"/>
                <w:szCs w:val="20"/>
              </w:rPr>
              <w:t>预算管理情况（20分）</w:t>
            </w:r>
          </w:p>
        </w:tc>
      </w:tr>
      <w:tr>
        <w:tblPrEx>
          <w:tblLayout w:type="fixed"/>
          <w:tblCellMar>
            <w:top w:w="0" w:type="dxa"/>
            <w:left w:w="108" w:type="dxa"/>
            <w:bottom w:w="0" w:type="dxa"/>
            <w:right w:w="108" w:type="dxa"/>
          </w:tblCellMar>
        </w:tblPrEx>
        <w:trPr>
          <w:trHeight w:val="702" w:hRule="atLeast"/>
        </w:trPr>
        <w:tc>
          <w:tcPr>
            <w:tcW w:w="9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w:t>
            </w:r>
            <w:r>
              <w:rPr>
                <w:rFonts w:ascii="宋体" w:hAnsi="宋体" w:cs="宋体"/>
                <w:b/>
                <w:bCs/>
                <w:color w:val="000000"/>
                <w:kern w:val="0"/>
                <w:sz w:val="20"/>
                <w:szCs w:val="20"/>
              </w:rPr>
              <w:t>级</w:t>
            </w:r>
          </w:p>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w:t>
            </w:r>
          </w:p>
        </w:tc>
        <w:tc>
          <w:tcPr>
            <w:tcW w:w="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w:t>
            </w:r>
            <w:r>
              <w:rPr>
                <w:rFonts w:ascii="宋体" w:hAnsi="宋体" w:cs="宋体"/>
                <w:b/>
                <w:bCs/>
                <w:color w:val="000000"/>
                <w:kern w:val="0"/>
                <w:sz w:val="20"/>
                <w:szCs w:val="20"/>
              </w:rPr>
              <w:t>级</w:t>
            </w:r>
          </w:p>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w:t>
            </w: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w:t>
            </w:r>
            <w:r>
              <w:rPr>
                <w:rFonts w:ascii="宋体" w:hAnsi="宋体" w:cs="宋体"/>
                <w:b/>
                <w:bCs/>
                <w:color w:val="000000"/>
                <w:kern w:val="0"/>
                <w:sz w:val="20"/>
                <w:szCs w:val="20"/>
              </w:rPr>
              <w:t>级</w:t>
            </w:r>
          </w:p>
          <w:p>
            <w:pPr>
              <w:widowControl/>
              <w:jc w:val="center"/>
              <w:rPr>
                <w:rFonts w:ascii="宋体" w:hAnsi="宋体" w:cs="宋体"/>
                <w:b/>
                <w:bCs/>
                <w:color w:val="000000"/>
                <w:kern w:val="0"/>
                <w:sz w:val="20"/>
                <w:szCs w:val="20"/>
              </w:rPr>
            </w:pPr>
            <w:r>
              <w:rPr>
                <w:rFonts w:ascii="宋体" w:hAnsi="宋体" w:cs="宋体"/>
                <w:b/>
                <w:bCs/>
                <w:color w:val="000000"/>
                <w:kern w:val="0"/>
                <w:sz w:val="20"/>
                <w:szCs w:val="20"/>
              </w:rPr>
              <w:t>指标</w:t>
            </w:r>
          </w:p>
        </w:tc>
        <w:tc>
          <w:tcPr>
            <w:tcW w:w="268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r>
              <w:rPr>
                <w:rFonts w:ascii="宋体" w:hAnsi="宋体" w:cs="宋体"/>
                <w:b/>
                <w:bCs/>
                <w:color w:val="000000"/>
                <w:kern w:val="0"/>
                <w:sz w:val="20"/>
                <w:szCs w:val="20"/>
              </w:rPr>
              <w:t>值</w:t>
            </w:r>
          </w:p>
        </w:tc>
        <w:tc>
          <w:tcPr>
            <w:tcW w:w="183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w:t>
            </w:r>
            <w:r>
              <w:rPr>
                <w:rFonts w:ascii="宋体" w:hAnsi="宋体" w:cs="宋体"/>
                <w:b/>
                <w:bCs/>
                <w:color w:val="000000"/>
                <w:kern w:val="0"/>
                <w:sz w:val="20"/>
                <w:szCs w:val="20"/>
              </w:rPr>
              <w:t>值</w:t>
            </w:r>
          </w:p>
        </w:tc>
        <w:tc>
          <w:tcPr>
            <w:tcW w:w="71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w:t>
            </w:r>
            <w:r>
              <w:rPr>
                <w:rFonts w:ascii="宋体" w:hAnsi="宋体" w:cs="宋体"/>
                <w:b/>
                <w:bCs/>
                <w:color w:val="000000"/>
                <w:kern w:val="0"/>
                <w:sz w:val="20"/>
                <w:szCs w:val="20"/>
              </w:rPr>
              <w:t>值</w:t>
            </w:r>
          </w:p>
        </w:tc>
        <w:tc>
          <w:tcPr>
            <w:tcW w:w="709" w:type="dxa"/>
            <w:gridSpan w:val="3"/>
            <w:tcBorders>
              <w:top w:val="single" w:color="auto" w:sz="4" w:space="0"/>
              <w:left w:val="nil"/>
              <w:bottom w:val="single" w:color="auto" w:sz="4" w:space="0"/>
              <w:right w:val="nil"/>
            </w:tcBorders>
            <w:vAlign w:val="center"/>
          </w:tcPr>
          <w:p>
            <w:pPr>
              <w:widowControl/>
              <w:tabs>
                <w:tab w:val="left" w:pos="297"/>
              </w:tabs>
              <w:jc w:val="center"/>
              <w:rPr>
                <w:rFonts w:ascii="宋体" w:hAnsi="宋体" w:cs="宋体"/>
                <w:b/>
                <w:bCs/>
                <w:color w:val="000000"/>
                <w:kern w:val="0"/>
                <w:sz w:val="20"/>
                <w:szCs w:val="20"/>
              </w:rPr>
            </w:pPr>
            <w:r>
              <w:rPr>
                <w:rFonts w:hint="eastAsia" w:ascii="宋体" w:hAnsi="宋体" w:cs="宋体"/>
                <w:b/>
                <w:bCs/>
                <w:color w:val="000000"/>
                <w:kern w:val="0"/>
                <w:sz w:val="20"/>
                <w:szCs w:val="20"/>
              </w:rPr>
              <w:t>得</w:t>
            </w:r>
            <w:r>
              <w:rPr>
                <w:rFonts w:ascii="宋体" w:hAnsi="宋体" w:cs="宋体"/>
                <w:b/>
                <w:bCs/>
                <w:color w:val="000000"/>
                <w:kern w:val="0"/>
                <w:sz w:val="20"/>
                <w:szCs w:val="20"/>
              </w:rPr>
              <w:t>分</w:t>
            </w:r>
          </w:p>
        </w:tc>
        <w:tc>
          <w:tcPr>
            <w:tcW w:w="2408" w:type="dxa"/>
            <w:gridSpan w:val="3"/>
            <w:tcBorders>
              <w:top w:val="single" w:color="auto" w:sz="4" w:space="0"/>
              <w:left w:val="single" w:color="auto" w:sz="4" w:space="0"/>
              <w:bottom w:val="single" w:color="auto" w:sz="4" w:space="0"/>
              <w:right w:val="single" w:color="auto" w:sz="4" w:space="0"/>
            </w:tcBorders>
            <w:vAlign w:val="center"/>
          </w:tcPr>
          <w:p>
            <w:pPr>
              <w:widowControl/>
              <w:tabs>
                <w:tab w:val="left" w:pos="297"/>
              </w:tabs>
              <w:jc w:val="center"/>
              <w:rPr>
                <w:rFonts w:ascii="宋体" w:hAnsi="宋体" w:cs="宋体"/>
                <w:b/>
                <w:bCs/>
                <w:color w:val="000000"/>
                <w:kern w:val="0"/>
                <w:sz w:val="18"/>
                <w:szCs w:val="18"/>
              </w:rPr>
            </w:pPr>
            <w:r>
              <w:rPr>
                <w:rFonts w:hint="eastAsia" w:ascii="宋体" w:hAnsi="宋体" w:cs="宋体"/>
                <w:b/>
                <w:bCs/>
                <w:color w:val="000000"/>
                <w:kern w:val="0"/>
                <w:sz w:val="18"/>
                <w:szCs w:val="18"/>
              </w:rPr>
              <w:t>指标</w:t>
            </w:r>
            <w:r>
              <w:rPr>
                <w:rFonts w:ascii="宋体" w:hAnsi="宋体" w:cs="宋体"/>
                <w:b/>
                <w:bCs/>
                <w:color w:val="000000"/>
                <w:kern w:val="0"/>
                <w:sz w:val="18"/>
                <w:szCs w:val="18"/>
              </w:rPr>
              <w:t>解释</w:t>
            </w:r>
          </w:p>
        </w:tc>
        <w:tc>
          <w:tcPr>
            <w:tcW w:w="323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w:t>
            </w:r>
            <w:r>
              <w:rPr>
                <w:rFonts w:ascii="宋体" w:hAnsi="宋体" w:cs="宋体"/>
                <w:b/>
                <w:bCs/>
                <w:color w:val="000000"/>
                <w:kern w:val="0"/>
                <w:sz w:val="18"/>
                <w:szCs w:val="18"/>
              </w:rPr>
              <w:t>分标准</w:t>
            </w:r>
          </w:p>
        </w:tc>
      </w:tr>
      <w:tr>
        <w:tblPrEx>
          <w:tblLayout w:type="fixed"/>
          <w:tblCellMar>
            <w:top w:w="0" w:type="dxa"/>
            <w:left w:w="108" w:type="dxa"/>
            <w:bottom w:w="0" w:type="dxa"/>
            <w:right w:w="108" w:type="dxa"/>
          </w:tblCellMar>
        </w:tblPrEx>
        <w:trPr>
          <w:trHeight w:val="1230" w:hRule="atLeast"/>
        </w:trPr>
        <w:tc>
          <w:tcPr>
            <w:tcW w:w="9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8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w:t>
            </w:r>
          </w:p>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财务管理制度健全性</w:t>
            </w:r>
          </w:p>
        </w:tc>
        <w:tc>
          <w:tcPr>
            <w:tcW w:w="2684"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建立相关财务管理制度，且完整、合规</w:t>
            </w:r>
          </w:p>
        </w:tc>
        <w:tc>
          <w:tcPr>
            <w:tcW w:w="1832" w:type="dxa"/>
            <w:gridSpan w:val="4"/>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相关财务管理制度完整、规范</w:t>
            </w:r>
          </w:p>
        </w:tc>
        <w:tc>
          <w:tcPr>
            <w:tcW w:w="71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1</w:t>
            </w:r>
          </w:p>
        </w:tc>
        <w:tc>
          <w:tcPr>
            <w:tcW w:w="709" w:type="dxa"/>
            <w:gridSpan w:val="3"/>
            <w:tcBorders>
              <w:top w:val="single" w:color="auto" w:sz="4" w:space="0"/>
              <w:left w:val="nil"/>
              <w:bottom w:val="single" w:color="auto" w:sz="4" w:space="0"/>
              <w:right w:val="nil"/>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0.5</w:t>
            </w:r>
          </w:p>
        </w:tc>
        <w:tc>
          <w:tcPr>
            <w:tcW w:w="240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3233"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Layout w:type="fixed"/>
          <w:tblCellMar>
            <w:top w:w="0" w:type="dxa"/>
            <w:left w:w="108" w:type="dxa"/>
            <w:bottom w:w="0" w:type="dxa"/>
            <w:right w:w="108" w:type="dxa"/>
          </w:tblCellMar>
        </w:tblPrEx>
        <w:trPr>
          <w:trHeight w:val="2220"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8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2684" w:type="dxa"/>
            <w:gridSpan w:val="3"/>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资金使用符合相关管理要求，使用合规、安全</w:t>
            </w:r>
          </w:p>
        </w:tc>
        <w:tc>
          <w:tcPr>
            <w:tcW w:w="1832" w:type="dxa"/>
            <w:gridSpan w:val="4"/>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资金使用符合要求、规范执行</w:t>
            </w:r>
          </w:p>
        </w:tc>
        <w:tc>
          <w:tcPr>
            <w:tcW w:w="715" w:type="dxa"/>
            <w:gridSpan w:val="2"/>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p>
        </w:tc>
        <w:tc>
          <w:tcPr>
            <w:tcW w:w="709" w:type="dxa"/>
            <w:gridSpan w:val="3"/>
            <w:tcBorders>
              <w:top w:val="single" w:color="auto" w:sz="4" w:space="0"/>
              <w:left w:val="nil"/>
              <w:bottom w:val="single" w:color="auto" w:sz="4" w:space="0"/>
              <w:right w:val="nil"/>
            </w:tcBorders>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2</w:t>
            </w:r>
          </w:p>
        </w:tc>
        <w:tc>
          <w:tcPr>
            <w:tcW w:w="240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3233"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Layout w:type="fixed"/>
          <w:tblCellMar>
            <w:top w:w="0" w:type="dxa"/>
            <w:left w:w="108" w:type="dxa"/>
            <w:bottom w:w="0" w:type="dxa"/>
            <w:right w:w="108" w:type="dxa"/>
          </w:tblCellMar>
        </w:tblPrEx>
        <w:trPr>
          <w:trHeight w:val="1035" w:hRule="atLeast"/>
        </w:trPr>
        <w:tc>
          <w:tcPr>
            <w:tcW w:w="9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3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69"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2684" w:type="dxa"/>
            <w:gridSpan w:val="3"/>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　基础数据信息和会计信息资料、完整、准确</w:t>
            </w:r>
          </w:p>
        </w:tc>
        <w:tc>
          <w:tcPr>
            <w:tcW w:w="1832" w:type="dxa"/>
            <w:gridSpan w:val="4"/>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单位基础数据信息和会计信息资料、完整、准确　</w:t>
            </w:r>
          </w:p>
        </w:tc>
        <w:tc>
          <w:tcPr>
            <w:tcW w:w="715" w:type="dxa"/>
            <w:gridSpan w:val="2"/>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709" w:type="dxa"/>
            <w:gridSpan w:val="3"/>
            <w:tcBorders>
              <w:top w:val="nil"/>
              <w:left w:val="nil"/>
              <w:bottom w:val="single" w:color="auto" w:sz="4" w:space="0"/>
              <w:right w:val="nil"/>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1</w:t>
            </w:r>
          </w:p>
        </w:tc>
        <w:tc>
          <w:tcPr>
            <w:tcW w:w="2408" w:type="dxa"/>
            <w:gridSpan w:val="3"/>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3233" w:type="dxa"/>
            <w:gridSpan w:val="4"/>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Layout w:type="fixed"/>
          <w:tblCellMar>
            <w:top w:w="0" w:type="dxa"/>
            <w:left w:w="108" w:type="dxa"/>
            <w:bottom w:w="0" w:type="dxa"/>
            <w:right w:w="108" w:type="dxa"/>
          </w:tblCellMar>
        </w:tblPrEx>
        <w:trPr>
          <w:trHeight w:val="3060"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3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86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268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资产管理制度健全，执行规范</w:t>
            </w:r>
          </w:p>
        </w:tc>
        <w:tc>
          <w:tcPr>
            <w:tcW w:w="183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资产管理制度健全，且规范执行</w:t>
            </w:r>
          </w:p>
        </w:tc>
        <w:tc>
          <w:tcPr>
            <w:tcW w:w="71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70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4</w:t>
            </w:r>
          </w:p>
        </w:tc>
        <w:tc>
          <w:tcPr>
            <w:tcW w:w="240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323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Layout w:type="fixed"/>
          <w:tblCellMar>
            <w:top w:w="0" w:type="dxa"/>
            <w:left w:w="108" w:type="dxa"/>
            <w:bottom w:w="0" w:type="dxa"/>
            <w:right w:w="108" w:type="dxa"/>
          </w:tblCellMar>
        </w:tblPrEx>
        <w:trPr>
          <w:trHeight w:val="1200" w:hRule="atLeast"/>
        </w:trPr>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83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869"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2684" w:type="dxa"/>
            <w:gridSpan w:val="3"/>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对绩效信息进行汇总分析整理；对绩效目标偏离情况及时进行矫正。</w:t>
            </w:r>
          </w:p>
        </w:tc>
        <w:tc>
          <w:tcPr>
            <w:tcW w:w="1832" w:type="dxa"/>
            <w:gridSpan w:val="4"/>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及时对绩效信息进行汇总分析整理；对绩效目标偏离情况及时进行矫正。</w:t>
            </w:r>
          </w:p>
        </w:tc>
        <w:tc>
          <w:tcPr>
            <w:tcW w:w="71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709" w:type="dxa"/>
            <w:gridSpan w:val="3"/>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0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3233"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Layout w:type="fixed"/>
          <w:tblCellMar>
            <w:top w:w="0" w:type="dxa"/>
            <w:left w:w="108" w:type="dxa"/>
            <w:bottom w:w="0" w:type="dxa"/>
            <w:right w:w="108" w:type="dxa"/>
          </w:tblCellMar>
        </w:tblPrEx>
        <w:trPr>
          <w:trHeight w:val="344" w:hRule="atLeast"/>
        </w:trPr>
        <w:tc>
          <w:tcPr>
            <w:tcW w:w="95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70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　</w:t>
            </w:r>
          </w:p>
        </w:tc>
        <w:tc>
          <w:tcPr>
            <w:tcW w:w="13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w:t>
            </w:r>
          </w:p>
        </w:tc>
        <w:tc>
          <w:tcPr>
            <w:tcW w:w="136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w:t>
            </w:r>
          </w:p>
        </w:tc>
        <w:tc>
          <w:tcPr>
            <w:tcW w:w="9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3832"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3233" w:type="dxa"/>
            <w:gridSpan w:val="4"/>
            <w:tcBorders>
              <w:top w:val="single" w:color="auto" w:sz="4" w:space="0"/>
              <w:left w:val="nil"/>
              <w:bottom w:val="single" w:color="auto" w:sz="4" w:space="0"/>
              <w:right w:val="single" w:color="auto" w:sz="4" w:space="0"/>
            </w:tcBorders>
            <w:vAlign w:val="center"/>
          </w:tcPr>
          <w:p>
            <w:pPr>
              <w:widowControl/>
              <w:jc w:val="center"/>
              <w:rPr>
                <w:rFonts w:eastAsia="Times New Roman"/>
                <w:kern w:val="0"/>
                <w:sz w:val="20"/>
                <w:szCs w:val="20"/>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Layout w:type="fixed"/>
          <w:tblCellMar>
            <w:top w:w="0" w:type="dxa"/>
            <w:left w:w="108" w:type="dxa"/>
            <w:bottom w:w="0" w:type="dxa"/>
            <w:right w:w="108" w:type="dxa"/>
          </w:tblCellMar>
        </w:tblPrEx>
        <w:trPr>
          <w:trHeight w:val="2164"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707"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1320"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11.03%</w:t>
            </w:r>
          </w:p>
        </w:tc>
        <w:tc>
          <w:tcPr>
            <w:tcW w:w="13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5.75%</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32" w:type="dxa"/>
            <w:gridSpan w:val="2"/>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832"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3233"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Layout w:type="fixed"/>
          <w:tblCellMar>
            <w:top w:w="0" w:type="dxa"/>
            <w:left w:w="108" w:type="dxa"/>
            <w:bottom w:w="0" w:type="dxa"/>
            <w:right w:w="108" w:type="dxa"/>
          </w:tblCellMar>
        </w:tblPrEx>
        <w:trPr>
          <w:trHeight w:val="90" w:hRule="atLeast"/>
        </w:trPr>
        <w:tc>
          <w:tcPr>
            <w:tcW w:w="9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1707" w:type="dxa"/>
            <w:gridSpan w:val="6"/>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1320" w:type="dxa"/>
            <w:gridSpan w:val="2"/>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136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1.07%</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32" w:type="dxa"/>
            <w:gridSpan w:val="2"/>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832" w:type="dxa"/>
            <w:gridSpan w:val="8"/>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3233" w:type="dxa"/>
            <w:gridSpan w:val="4"/>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Layout w:type="fixed"/>
          <w:tblCellMar>
            <w:top w:w="0" w:type="dxa"/>
            <w:left w:w="108" w:type="dxa"/>
            <w:bottom w:w="0" w:type="dxa"/>
            <w:right w:w="108" w:type="dxa"/>
          </w:tblCellMar>
        </w:tblPrEx>
        <w:trPr>
          <w:trHeight w:val="404" w:hRule="atLeast"/>
        </w:trPr>
        <w:tc>
          <w:tcPr>
            <w:tcW w:w="5348"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合计</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100.00</w:t>
            </w:r>
          </w:p>
        </w:tc>
        <w:tc>
          <w:tcPr>
            <w:tcW w:w="932" w:type="dxa"/>
            <w:gridSpan w:val="2"/>
            <w:tcBorders>
              <w:top w:val="nil"/>
              <w:left w:val="nil"/>
              <w:bottom w:val="single" w:color="auto" w:sz="4" w:space="0"/>
              <w:right w:val="nil"/>
            </w:tcBorders>
            <w:vAlign w:val="center"/>
          </w:tcPr>
          <w:p>
            <w:pPr>
              <w:widowControl/>
              <w:jc w:val="center"/>
              <w:rPr>
                <w:rFonts w:ascii="宋体" w:hAnsi="宋体" w:cs="宋体"/>
                <w:b/>
                <w:color w:val="000000"/>
                <w:kern w:val="0"/>
                <w:sz w:val="20"/>
                <w:szCs w:val="20"/>
              </w:rPr>
            </w:pPr>
            <w:r>
              <w:rPr>
                <w:rFonts w:hint="eastAsia" w:ascii="宋体" w:hAnsi="宋体" w:cs="宋体"/>
                <w:b/>
                <w:color w:val="000000"/>
                <w:kern w:val="0"/>
                <w:sz w:val="20"/>
                <w:szCs w:val="20"/>
              </w:rPr>
              <w:t>87</w:t>
            </w:r>
            <w:r>
              <w:rPr>
                <w:rFonts w:ascii="宋体" w:hAnsi="宋体" w:cs="宋体"/>
                <w:b/>
                <w:color w:val="000000"/>
                <w:kern w:val="0"/>
                <w:sz w:val="20"/>
                <w:szCs w:val="20"/>
              </w:rPr>
              <w:t>.</w:t>
            </w:r>
            <w:r>
              <w:rPr>
                <w:rFonts w:hint="eastAsia" w:ascii="宋体" w:hAnsi="宋体" w:cs="宋体"/>
                <w:b/>
                <w:color w:val="000000"/>
                <w:kern w:val="0"/>
                <w:sz w:val="20"/>
                <w:szCs w:val="20"/>
              </w:rPr>
              <w:t>45　</w:t>
            </w:r>
          </w:p>
        </w:tc>
        <w:tc>
          <w:tcPr>
            <w:tcW w:w="7065" w:type="dxa"/>
            <w:gridSpan w:val="1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　</w:t>
            </w:r>
          </w:p>
        </w:tc>
      </w:tr>
    </w:tbl>
    <w:p>
      <w:pPr>
        <w:rPr>
          <w:rFonts w:ascii="黑体" w:hAnsi="黑体" w:eastAsia="黑体"/>
          <w:sz w:val="32"/>
          <w:szCs w:val="32"/>
        </w:rPr>
        <w:sectPr>
          <w:pgSz w:w="16838" w:h="11906" w:orient="landscape"/>
          <w:pgMar w:top="1800" w:right="1440" w:bottom="1800" w:left="1440" w:header="851" w:footer="992" w:gutter="0"/>
          <w:cols w:space="425" w:num="1"/>
          <w:docGrid w:type="lines" w:linePitch="312" w:charSpace="0"/>
        </w:sectPr>
      </w:pPr>
    </w:p>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sdt>
                <w:sdtPr>
                  <w:id w:val="65624913"/>
                </w:sdtPr>
                <w:sdtContent>
                  <w:p>
                    <w:pPr>
                      <w:pStyle w:val="10"/>
                      <w:jc w:val="center"/>
                    </w:pPr>
                    <w:r>
                      <w:rPr>
                        <w:rFonts w:hint="eastAsia" w:ascii="宋体" w:hAnsi="宋体" w:cs="宋体"/>
                        <w:sz w:val="20"/>
                        <w:szCs w:val="21"/>
                      </w:rPr>
                      <w:fldChar w:fldCharType="begin"/>
                    </w:r>
                    <w:r>
                      <w:rPr>
                        <w:rFonts w:hint="eastAsia" w:ascii="宋体" w:hAnsi="宋体" w:cs="宋体"/>
                        <w:sz w:val="20"/>
                        <w:szCs w:val="21"/>
                      </w:rPr>
                      <w:instrText xml:space="preserve">PAGE   \* MERGEFORMAT</w:instrText>
                    </w:r>
                    <w:r>
                      <w:rPr>
                        <w:rFonts w:hint="eastAsia" w:ascii="宋体" w:hAnsi="宋体" w:cs="宋体"/>
                        <w:sz w:val="20"/>
                        <w:szCs w:val="21"/>
                      </w:rPr>
                      <w:fldChar w:fldCharType="separate"/>
                    </w:r>
                    <w:r>
                      <w:rPr>
                        <w:rFonts w:ascii="宋体" w:hAnsi="宋体" w:cs="宋体"/>
                        <w:sz w:val="20"/>
                        <w:szCs w:val="21"/>
                        <w:lang w:val="zh-CN"/>
                      </w:rPr>
                      <w:t>1</w:t>
                    </w:r>
                    <w:r>
                      <w:rPr>
                        <w:rFonts w:hint="eastAsia" w:ascii="宋体" w:hAnsi="宋体" w:cs="宋体"/>
                        <w:sz w:val="20"/>
                        <w:szCs w:val="21"/>
                      </w:rPr>
                      <w:fldChar w:fldCharType="end"/>
                    </w:r>
                  </w:p>
                </w:sdtContent>
              </w:sdt>
              <w:p>
                <w:pPr>
                  <w:pStyle w:val="14"/>
                </w:pPr>
              </w:p>
            </w:txbxContent>
          </v:textbox>
        </v:shape>
      </w:pic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ZhYjVjYjM2MmNmNTI5Y2E5ZTlkMmEzZDY5NDUxZGQifQ=="/>
  </w:docVars>
  <w:rsids>
    <w:rsidRoot w:val="00E67491"/>
    <w:rsid w:val="00042E66"/>
    <w:rsid w:val="00071E9F"/>
    <w:rsid w:val="0014556A"/>
    <w:rsid w:val="00192F65"/>
    <w:rsid w:val="001A4F60"/>
    <w:rsid w:val="002E4454"/>
    <w:rsid w:val="0032355A"/>
    <w:rsid w:val="003628A8"/>
    <w:rsid w:val="003A629A"/>
    <w:rsid w:val="00413008"/>
    <w:rsid w:val="004A100C"/>
    <w:rsid w:val="004D373D"/>
    <w:rsid w:val="004D6360"/>
    <w:rsid w:val="00523159"/>
    <w:rsid w:val="0056586C"/>
    <w:rsid w:val="00581191"/>
    <w:rsid w:val="00634CB1"/>
    <w:rsid w:val="006A118A"/>
    <w:rsid w:val="006B4F71"/>
    <w:rsid w:val="006D481A"/>
    <w:rsid w:val="007E1D79"/>
    <w:rsid w:val="00803078"/>
    <w:rsid w:val="008F112A"/>
    <w:rsid w:val="00952D67"/>
    <w:rsid w:val="00980455"/>
    <w:rsid w:val="00987EC8"/>
    <w:rsid w:val="00A10BA9"/>
    <w:rsid w:val="00A41BC3"/>
    <w:rsid w:val="00B8627E"/>
    <w:rsid w:val="00BF7DD1"/>
    <w:rsid w:val="00C30776"/>
    <w:rsid w:val="00C33D78"/>
    <w:rsid w:val="00C71B49"/>
    <w:rsid w:val="00CB0E23"/>
    <w:rsid w:val="00CE7385"/>
    <w:rsid w:val="00CF4099"/>
    <w:rsid w:val="00E11031"/>
    <w:rsid w:val="00E67491"/>
    <w:rsid w:val="00F90887"/>
    <w:rsid w:val="00F91DEB"/>
    <w:rsid w:val="06A72A7B"/>
    <w:rsid w:val="06F9C141"/>
    <w:rsid w:val="09D15564"/>
    <w:rsid w:val="0A690774"/>
    <w:rsid w:val="0AE54168"/>
    <w:rsid w:val="0B0B7CAC"/>
    <w:rsid w:val="0B420FC5"/>
    <w:rsid w:val="11684E27"/>
    <w:rsid w:val="118934A9"/>
    <w:rsid w:val="13C133CE"/>
    <w:rsid w:val="149604C9"/>
    <w:rsid w:val="156D0F2C"/>
    <w:rsid w:val="15CE3245"/>
    <w:rsid w:val="16691AFB"/>
    <w:rsid w:val="1DA6229F"/>
    <w:rsid w:val="1FF91C64"/>
    <w:rsid w:val="247F0210"/>
    <w:rsid w:val="25D8389B"/>
    <w:rsid w:val="2771703E"/>
    <w:rsid w:val="2FA958B8"/>
    <w:rsid w:val="3017022E"/>
    <w:rsid w:val="344C07F1"/>
    <w:rsid w:val="36F154C9"/>
    <w:rsid w:val="36FBA52F"/>
    <w:rsid w:val="39590AF0"/>
    <w:rsid w:val="3FDFA859"/>
    <w:rsid w:val="40D514AA"/>
    <w:rsid w:val="434516C0"/>
    <w:rsid w:val="446C2633"/>
    <w:rsid w:val="479C9F46"/>
    <w:rsid w:val="49FBFB06"/>
    <w:rsid w:val="4B5C1408"/>
    <w:rsid w:val="4DDF79D2"/>
    <w:rsid w:val="4F074CB2"/>
    <w:rsid w:val="4FFD64C7"/>
    <w:rsid w:val="50027D7D"/>
    <w:rsid w:val="530F48B5"/>
    <w:rsid w:val="56C87B9D"/>
    <w:rsid w:val="5B743F95"/>
    <w:rsid w:val="5F69324B"/>
    <w:rsid w:val="61484E9B"/>
    <w:rsid w:val="625B180A"/>
    <w:rsid w:val="634144DE"/>
    <w:rsid w:val="63A01E57"/>
    <w:rsid w:val="63A2C85E"/>
    <w:rsid w:val="643605FC"/>
    <w:rsid w:val="644553A5"/>
    <w:rsid w:val="667F6685"/>
    <w:rsid w:val="67987117"/>
    <w:rsid w:val="685478BB"/>
    <w:rsid w:val="686E6EA8"/>
    <w:rsid w:val="688B6145"/>
    <w:rsid w:val="69A5377A"/>
    <w:rsid w:val="6A97F2AF"/>
    <w:rsid w:val="6AF3562A"/>
    <w:rsid w:val="6BBB2C00"/>
    <w:rsid w:val="6D6A1239"/>
    <w:rsid w:val="6DDAC29B"/>
    <w:rsid w:val="6FCE73C6"/>
    <w:rsid w:val="6FFFC6AF"/>
    <w:rsid w:val="7656ADEB"/>
    <w:rsid w:val="76CF12AA"/>
    <w:rsid w:val="776C6C13"/>
    <w:rsid w:val="78C26B27"/>
    <w:rsid w:val="7A3FD639"/>
    <w:rsid w:val="7B3BB7DA"/>
    <w:rsid w:val="7BEEF8F2"/>
    <w:rsid w:val="7BFF6DC9"/>
    <w:rsid w:val="7C7ABCDF"/>
    <w:rsid w:val="7DBEAE89"/>
    <w:rsid w:val="7EFDA3B3"/>
    <w:rsid w:val="7F3823EB"/>
    <w:rsid w:val="7F7DA7A2"/>
    <w:rsid w:val="7FAED779"/>
    <w:rsid w:val="7FFB5FBC"/>
    <w:rsid w:val="7FFF2017"/>
    <w:rsid w:val="7FFF5889"/>
    <w:rsid w:val="7FFFDD9F"/>
    <w:rsid w:val="A897C733"/>
    <w:rsid w:val="BBB9DB92"/>
    <w:rsid w:val="BEF94869"/>
    <w:rsid w:val="BEFA7443"/>
    <w:rsid w:val="BFA32CEC"/>
    <w:rsid w:val="CEFFFC8A"/>
    <w:rsid w:val="D5CFA8A9"/>
    <w:rsid w:val="E59958B1"/>
    <w:rsid w:val="EC39560A"/>
    <w:rsid w:val="ED7F4F28"/>
    <w:rsid w:val="EF9B01D3"/>
    <w:rsid w:val="EFAFA9CA"/>
    <w:rsid w:val="EFFD2FF9"/>
    <w:rsid w:val="F5BB29B6"/>
    <w:rsid w:val="F6F552D5"/>
    <w:rsid w:val="F7F60778"/>
    <w:rsid w:val="FAF5F68D"/>
    <w:rsid w:val="FBD34DF6"/>
    <w:rsid w:val="FDFAD698"/>
    <w:rsid w:val="FE9568CD"/>
    <w:rsid w:val="FEE9C1CC"/>
    <w:rsid w:val="FF770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Calibri" w:hAnsi="Calibri"/>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5">
    <w:name w:val="annotation subject"/>
    <w:basedOn w:val="6"/>
    <w:next w:val="6"/>
    <w:link w:val="23"/>
    <w:qFormat/>
    <w:uiPriority w:val="0"/>
    <w:rPr>
      <w:b/>
      <w:bCs/>
    </w:rPr>
  </w:style>
  <w:style w:type="paragraph" w:styleId="6">
    <w:name w:val="annotation text"/>
    <w:basedOn w:val="1"/>
    <w:link w:val="22"/>
    <w:qFormat/>
    <w:uiPriority w:val="0"/>
    <w:pPr>
      <w:jc w:val="left"/>
    </w:pPr>
  </w:style>
  <w:style w:type="paragraph" w:styleId="7">
    <w:name w:val="Body Text Indent"/>
    <w:basedOn w:val="1"/>
    <w:next w:val="1"/>
    <w:semiHidden/>
    <w:unhideWhenUsed/>
    <w:qFormat/>
    <w:uiPriority w:val="99"/>
    <w:pPr>
      <w:spacing w:after="120"/>
      <w:ind w:left="420" w:leftChars="200"/>
    </w:pPr>
  </w:style>
  <w:style w:type="paragraph" w:styleId="8">
    <w:name w:val="Date"/>
    <w:basedOn w:val="1"/>
    <w:next w:val="1"/>
    <w:link w:val="29"/>
    <w:semiHidden/>
    <w:unhideWhenUsed/>
    <w:qFormat/>
    <w:uiPriority w:val="0"/>
    <w:pPr>
      <w:ind w:left="100" w:leftChars="2500"/>
    </w:pPr>
  </w:style>
  <w:style w:type="paragraph" w:styleId="9">
    <w:name w:val="Balloon Text"/>
    <w:basedOn w:val="1"/>
    <w:link w:val="24"/>
    <w:qFormat/>
    <w:uiPriority w:val="0"/>
    <w:rPr>
      <w:sz w:val="18"/>
      <w:szCs w:val="18"/>
    </w:rPr>
  </w:style>
  <w:style w:type="paragraph" w:styleId="10">
    <w:name w:val="footer"/>
    <w:basedOn w:val="1"/>
    <w:link w:val="26"/>
    <w:qFormat/>
    <w:uiPriority w:val="99"/>
    <w:pPr>
      <w:tabs>
        <w:tab w:val="center" w:pos="4153"/>
        <w:tab w:val="right" w:pos="8306"/>
      </w:tabs>
      <w:snapToGrid w:val="0"/>
      <w:jc w:val="left"/>
    </w:pPr>
    <w:rPr>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Title"/>
    <w:basedOn w:val="1"/>
    <w:next w:val="7"/>
    <w:qFormat/>
    <w:uiPriority w:val="0"/>
    <w:pPr>
      <w:spacing w:before="240" w:after="60"/>
      <w:jc w:val="center"/>
      <w:outlineLvl w:val="0"/>
    </w:pPr>
    <w:rPr>
      <w:rFonts w:ascii="Cambria" w:hAnsi="Cambria"/>
      <w:b/>
      <w:bCs/>
      <w:sz w:val="32"/>
      <w:szCs w:val="32"/>
    </w:rPr>
  </w:style>
  <w:style w:type="character" w:styleId="16">
    <w:name w:val="page number"/>
    <w:basedOn w:val="15"/>
    <w:qFormat/>
    <w:uiPriority w:val="0"/>
  </w:style>
  <w:style w:type="character" w:styleId="17">
    <w:name w:val="Hyperlink"/>
    <w:unhideWhenUsed/>
    <w:qFormat/>
    <w:uiPriority w:val="99"/>
    <w:rPr>
      <w:color w:val="0000FF"/>
      <w:u w:val="single"/>
    </w:rPr>
  </w:style>
  <w:style w:type="character" w:styleId="18">
    <w:name w:val="annotation reference"/>
    <w:basedOn w:val="15"/>
    <w:qFormat/>
    <w:uiPriority w:val="0"/>
    <w:rPr>
      <w:sz w:val="21"/>
      <w:szCs w:val="21"/>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paragraph" w:customStyle="1" w:styleId="21">
    <w:name w:val="列出段落1"/>
    <w:basedOn w:val="1"/>
    <w:qFormat/>
    <w:uiPriority w:val="34"/>
    <w:pPr>
      <w:ind w:firstLine="420" w:firstLineChars="200"/>
    </w:pPr>
    <w:rPr>
      <w:rFonts w:ascii="Calibri" w:hAnsi="Calibri" w:cs="黑体"/>
      <w:szCs w:val="22"/>
    </w:rPr>
  </w:style>
  <w:style w:type="character" w:customStyle="1" w:styleId="22">
    <w:name w:val="批注文字 Char"/>
    <w:basedOn w:val="15"/>
    <w:link w:val="6"/>
    <w:qFormat/>
    <w:uiPriority w:val="0"/>
    <w:rPr>
      <w:rFonts w:ascii="Times New Roman" w:hAnsi="Times New Roman" w:eastAsia="宋体" w:cs="Times New Roman"/>
      <w:kern w:val="2"/>
      <w:sz w:val="21"/>
      <w:szCs w:val="24"/>
    </w:rPr>
  </w:style>
  <w:style w:type="character" w:customStyle="1" w:styleId="23">
    <w:name w:val="批注主题 Char"/>
    <w:basedOn w:val="22"/>
    <w:link w:val="5"/>
    <w:qFormat/>
    <w:uiPriority w:val="0"/>
    <w:rPr>
      <w:rFonts w:ascii="Times New Roman" w:hAnsi="Times New Roman" w:eastAsia="宋体" w:cs="Times New Roman"/>
      <w:b/>
      <w:bCs/>
      <w:kern w:val="2"/>
      <w:sz w:val="21"/>
      <w:szCs w:val="24"/>
    </w:rPr>
  </w:style>
  <w:style w:type="character" w:customStyle="1" w:styleId="24">
    <w:name w:val="批注框文本 Char"/>
    <w:basedOn w:val="15"/>
    <w:link w:val="9"/>
    <w:qFormat/>
    <w:uiPriority w:val="0"/>
    <w:rPr>
      <w:rFonts w:ascii="Times New Roman" w:hAnsi="Times New Roman" w:eastAsia="宋体" w:cs="Times New Roman"/>
      <w:kern w:val="2"/>
      <w:sz w:val="18"/>
      <w:szCs w:val="18"/>
    </w:rPr>
  </w:style>
  <w:style w:type="paragraph" w:customStyle="1" w:styleId="25">
    <w:name w:val="列出段落2"/>
    <w:basedOn w:val="1"/>
    <w:unhideWhenUsed/>
    <w:qFormat/>
    <w:uiPriority w:val="99"/>
    <w:pPr>
      <w:ind w:firstLine="420" w:firstLineChars="200"/>
    </w:pPr>
  </w:style>
  <w:style w:type="character" w:customStyle="1" w:styleId="26">
    <w:name w:val="页脚 Char"/>
    <w:basedOn w:val="15"/>
    <w:link w:val="10"/>
    <w:qFormat/>
    <w:uiPriority w:val="99"/>
    <w:rPr>
      <w:rFonts w:ascii="Times New Roman" w:hAnsi="Times New Roman" w:eastAsia="宋体" w:cs="Times New Roman"/>
      <w:kern w:val="2"/>
      <w:sz w:val="18"/>
    </w:rPr>
  </w:style>
  <w:style w:type="paragraph" w:customStyle="1" w:styleId="2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29">
    <w:name w:val="日期 Char"/>
    <w:basedOn w:val="15"/>
    <w:link w:val="8"/>
    <w:semiHidden/>
    <w:qFormat/>
    <w:uiPriority w:val="0"/>
    <w:rPr>
      <w:kern w:val="2"/>
      <w:sz w:val="21"/>
      <w:szCs w:val="24"/>
    </w:rPr>
  </w:style>
  <w:style w:type="paragraph" w:customStyle="1" w:styleId="30">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1">
    <w:name w:val="font11"/>
    <w:basedOn w:val="15"/>
    <w:qFormat/>
    <w:uiPriority w:val="0"/>
    <w:rPr>
      <w:rFonts w:hint="eastAsia" w:ascii="宋体" w:hAnsi="宋体" w:eastAsia="宋体" w:cs="宋体"/>
      <w:color w:val="000000"/>
      <w:sz w:val="18"/>
      <w:szCs w:val="18"/>
      <w:u w:val="none"/>
    </w:rPr>
  </w:style>
  <w:style w:type="character" w:customStyle="1" w:styleId="32">
    <w:name w:val="font21"/>
    <w:basedOn w:val="15"/>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1768</Words>
  <Characters>10084</Characters>
  <Lines>84</Lines>
  <Paragraphs>23</Paragraphs>
  <TotalTime>3</TotalTime>
  <ScaleCrop>false</ScaleCrop>
  <LinksUpToDate>false</LinksUpToDate>
  <CharactersWithSpaces>11829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2022-03-13T19:16:00Z</dcterms:created>
  <dc:creator>user</dc:creator>
  <cp:lastModifiedBy>Lenovo</cp:lastModifiedBy>
  <cp:lastPrinted>2022-05-25T15:00:00Z</cp:lastPrinted>
  <dcterms:modified xsi:type="dcterms:W3CDTF">2023-06-06T06:49:38Z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6361682977E22709AA528A626D6AF634</vt:lpwstr>
  </property>
</Properties>
</file>