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52"/>
          <w:szCs w:val="52"/>
        </w:rPr>
      </w:pPr>
    </w:p>
    <w:p>
      <w:pPr>
        <w:jc w:val="center"/>
        <w:rPr>
          <w:b/>
          <w:bCs/>
          <w:color w:val="auto"/>
          <w:sz w:val="52"/>
          <w:szCs w:val="52"/>
        </w:rPr>
      </w:pPr>
    </w:p>
    <w:p>
      <w:pPr>
        <w:jc w:val="center"/>
        <w:rPr>
          <w:b/>
          <w:bCs/>
          <w:color w:val="auto"/>
          <w:sz w:val="52"/>
          <w:szCs w:val="52"/>
        </w:rPr>
      </w:pPr>
    </w:p>
    <w:p>
      <w:pPr>
        <w:jc w:val="center"/>
        <w:rPr>
          <w:b/>
          <w:bCs/>
          <w:color w:val="auto"/>
          <w:sz w:val="52"/>
          <w:szCs w:val="52"/>
        </w:rPr>
      </w:pPr>
    </w:p>
    <w:p>
      <w:pPr>
        <w:jc w:val="center"/>
        <w:rPr>
          <w:b/>
          <w:bCs/>
          <w:color w:val="auto"/>
          <w:sz w:val="52"/>
          <w:szCs w:val="52"/>
        </w:rPr>
      </w:pPr>
      <w:r>
        <w:rPr>
          <w:rFonts w:hint="eastAsia" w:ascii="方正小标宋简体" w:hAnsi="方正小标宋简体" w:eastAsia="方正小标宋简体" w:cs="方正小标宋简体"/>
          <w:bCs/>
          <w:color w:val="auto"/>
          <w:sz w:val="52"/>
          <w:szCs w:val="52"/>
          <w:highlight w:val="none"/>
        </w:rPr>
        <w:t>北京市妇女联合会</w:t>
      </w:r>
    </w:p>
    <w:p>
      <w:pPr>
        <w:jc w:val="center"/>
        <w:rPr>
          <w:b/>
          <w:bCs/>
          <w:color w:val="auto"/>
          <w:sz w:val="52"/>
          <w:szCs w:val="52"/>
        </w:rPr>
      </w:pPr>
    </w:p>
    <w:p>
      <w:pPr>
        <w:jc w:val="center"/>
        <w:rPr>
          <w:rFonts w:ascii="宋体" w:hAnsi="宋体" w:cs="宋体"/>
          <w:b/>
          <w:bCs/>
          <w:color w:val="auto"/>
          <w:sz w:val="52"/>
          <w:szCs w:val="52"/>
        </w:rPr>
      </w:pPr>
      <w:r>
        <w:rPr>
          <w:rFonts w:hint="eastAsia" w:ascii="方正小标宋简体" w:hAnsi="方正小标宋简体" w:eastAsia="方正小标宋简体" w:cs="方正小标宋简体"/>
          <w:bCs/>
          <w:color w:val="auto"/>
          <w:sz w:val="52"/>
          <w:szCs w:val="52"/>
          <w:highlight w:val="none"/>
        </w:rPr>
        <w:t>202</w:t>
      </w:r>
      <w:r>
        <w:rPr>
          <w:rFonts w:hint="eastAsia" w:ascii="方正小标宋简体" w:hAnsi="方正小标宋简体" w:eastAsia="方正小标宋简体" w:cs="方正小标宋简体"/>
          <w:bCs/>
          <w:color w:val="auto"/>
          <w:sz w:val="52"/>
          <w:szCs w:val="52"/>
          <w:highlight w:val="none"/>
          <w:lang w:val="en-US" w:eastAsia="zh-CN"/>
        </w:rPr>
        <w:t>3</w:t>
      </w:r>
      <w:r>
        <w:rPr>
          <w:rFonts w:hint="eastAsia" w:ascii="方正小标宋简体" w:hAnsi="方正小标宋简体" w:eastAsia="方正小标宋简体" w:cs="方正小标宋简体"/>
          <w:bCs/>
          <w:color w:val="auto"/>
          <w:sz w:val="52"/>
          <w:szCs w:val="52"/>
          <w:highlight w:val="none"/>
        </w:rPr>
        <w:t>年度部门整体绩效评价报告</w:t>
      </w:r>
    </w:p>
    <w:p>
      <w:pPr>
        <w:jc w:val="center"/>
        <w:rPr>
          <w:b/>
          <w:bCs/>
          <w:color w:val="auto"/>
          <w:sz w:val="52"/>
          <w:szCs w:val="52"/>
        </w:rPr>
      </w:pPr>
    </w:p>
    <w:p>
      <w:pP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rPr>
          <w:rFonts w:eastAsia="黑体"/>
          <w:color w:val="auto"/>
          <w:sz w:val="30"/>
          <w:u w:val="single"/>
        </w:rPr>
      </w:pPr>
    </w:p>
    <w:p>
      <w:pPr>
        <w:rPr>
          <w:rFonts w:ascii="宋体" w:cs="宋体"/>
          <w:bCs/>
          <w:color w:val="auto"/>
          <w:sz w:val="36"/>
          <w:szCs w:val="36"/>
        </w:rPr>
      </w:pPr>
    </w:p>
    <w:p>
      <w:pPr>
        <w:rPr>
          <w:rFonts w:ascii="宋体" w:cs="宋体"/>
          <w:bCs/>
          <w:color w:val="auto"/>
          <w:sz w:val="36"/>
          <w:szCs w:val="36"/>
        </w:rPr>
      </w:pPr>
    </w:p>
    <w:p>
      <w:pPr>
        <w:jc w:val="center"/>
        <w:rPr>
          <w:rFonts w:hint="eastAsia" w:ascii="宋体" w:cs="宋体"/>
          <w:bCs/>
          <w:color w:val="auto"/>
          <w:sz w:val="36"/>
          <w:szCs w:val="36"/>
        </w:rPr>
      </w:pPr>
      <w:r>
        <w:rPr>
          <w:rFonts w:hint="eastAsia" w:ascii="宋体" w:cs="宋体"/>
          <w:b/>
          <w:bCs w:val="0"/>
          <w:color w:val="auto"/>
          <w:sz w:val="36"/>
          <w:szCs w:val="36"/>
        </w:rPr>
        <w:t>北京国誉会计师事务所有限公司</w:t>
      </w:r>
    </w:p>
    <w:p>
      <w:pPr>
        <w:jc w:val="center"/>
        <w:rPr>
          <w:rFonts w:ascii="宋体" w:cs="宋体"/>
          <w:bCs/>
          <w:color w:val="auto"/>
          <w:sz w:val="36"/>
          <w:szCs w:val="36"/>
        </w:rPr>
      </w:pPr>
      <w:r>
        <w:rPr>
          <w:rFonts w:hint="eastAsia" w:ascii="仿宋_GB2312" w:hAnsi="仿宋_GB2312" w:eastAsia="仿宋_GB2312" w:cs="仿宋_GB2312"/>
          <w:b/>
          <w:bCs/>
          <w:color w:val="auto"/>
          <w:sz w:val="32"/>
          <w:szCs w:val="32"/>
          <w:highlight w:val="none"/>
          <w:lang w:val="en-US" w:eastAsia="zh-CN"/>
        </w:rPr>
        <w:t>2024年5月</w:t>
      </w:r>
    </w:p>
    <w:p>
      <w:pPr>
        <w:pStyle w:val="7"/>
        <w:rPr>
          <w:color w:val="auto"/>
        </w:rPr>
      </w:pPr>
    </w:p>
    <w:p>
      <w:pPr>
        <w:rPr>
          <w:rFonts w:ascii="方正小标宋简体" w:eastAsia="方正小标宋简体"/>
          <w:color w:val="auto"/>
          <w:sz w:val="36"/>
          <w:szCs w:val="36"/>
        </w:rPr>
        <w:sectPr>
          <w:footerReference r:id="rId6" w:type="first"/>
          <w:footerReference r:id="rId4" w:type="default"/>
          <w:headerReference r:id="rId3" w:type="even"/>
          <w:footerReference r:id="rId5" w:type="even"/>
          <w:pgSz w:w="11906" w:h="16838"/>
          <w:pgMar w:top="1440" w:right="1800" w:bottom="1440" w:left="1800" w:header="851" w:footer="992" w:gutter="0"/>
          <w:pgNumType w:start="1"/>
          <w:cols w:space="425" w:num="1"/>
          <w:titlePg/>
          <w:docGrid w:type="lines" w:linePitch="312" w:charSpace="0"/>
        </w:sectPr>
      </w:pPr>
      <w:r>
        <w:rPr>
          <w:rFonts w:hint="eastAsia" w:ascii="方正小标宋简体" w:eastAsia="方正小标宋简体"/>
          <w:color w:val="auto"/>
          <w:sz w:val="36"/>
          <w:szCs w:val="36"/>
        </w:rPr>
        <w:br w:type="page"/>
      </w:r>
    </w:p>
    <w:sdt>
      <w:sdtPr>
        <w:rPr>
          <w:rFonts w:ascii="宋体" w:hAnsi="宋体"/>
          <w:b/>
          <w:bCs/>
          <w:color w:val="auto"/>
        </w:rPr>
        <w:id w:val="147473636"/>
        <w:docPartObj>
          <w:docPartGallery w:val="Table of Contents"/>
          <w:docPartUnique/>
        </w:docPartObj>
      </w:sdtPr>
      <w:sdtEndPr>
        <w:rPr>
          <w:rFonts w:hint="eastAsia" w:ascii="仿宋_GB2312" w:hAnsi="仿宋_GB2312" w:eastAsia="仿宋_GB2312" w:cs="仿宋_GB2312"/>
          <w:b/>
          <w:bCs/>
          <w:color w:val="auto"/>
          <w:sz w:val="28"/>
          <w:szCs w:val="28"/>
        </w:rPr>
      </w:sdtEndPr>
      <w:sdtContent>
        <w:p>
          <w:pPr>
            <w:spacing w:line="480" w:lineRule="auto"/>
            <w:jc w:val="center"/>
            <w:rPr>
              <w:rFonts w:ascii="仿宋_GB2312" w:eastAsia="仿宋_GB2312"/>
              <w:b/>
              <w:bCs/>
              <w:color w:val="auto"/>
              <w:sz w:val="44"/>
              <w:szCs w:val="44"/>
              <w:lang w:val="zh-CN"/>
            </w:rPr>
          </w:pPr>
          <w:r>
            <w:rPr>
              <w:rFonts w:ascii="仿宋_GB2312" w:eastAsia="仿宋_GB2312"/>
              <w:b/>
              <w:bCs/>
              <w:color w:val="auto"/>
              <w:sz w:val="44"/>
              <w:szCs w:val="44"/>
              <w:lang w:val="zh-CN"/>
            </w:rPr>
            <w:t>目录</w:t>
          </w:r>
        </w:p>
        <w:p>
          <w:pPr>
            <w:pStyle w:val="12"/>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TOC \o "1-3" \h \z \u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_Toc4850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一、部门概况</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_Toc4850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_Toc18220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（一）机构设置及职责工作任务情况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_Toc18220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_Toc26782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bCs/>
              <w:kern w:val="0"/>
              <w:sz w:val="28"/>
              <w:szCs w:val="28"/>
            </w:rPr>
            <w:t>1.机构设置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_Toc14232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bCs/>
              <w:kern w:val="0"/>
              <w:sz w:val="28"/>
              <w:szCs w:val="28"/>
            </w:rPr>
            <w:t>2.人员配置及人员构成情况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_Toc10151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bCs/>
              <w:kern w:val="0"/>
              <w:sz w:val="28"/>
              <w:szCs w:val="28"/>
            </w:rPr>
            <w:t>3.主要职能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_Toc7092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（二）部门整体绩效目标设立情况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_Toc8530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二、当年预算执行情况</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_Toc8530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6</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_Toc8151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三、整体绩效目标实现情况</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_Toc8151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6</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_Toc6171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（一）产出完成情况分析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_Toc11788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1.产出数量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_Toc8558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2.产出质量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_Toc21330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3.产出进度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_Toc22135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4.产出成本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_Toc3016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（二）效果实现情况分析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_Toc21514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1.社会效益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_Toc5460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2.可持续性影响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_Toc19251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3.服务对象满意度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_Toc9361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四、预算管理情况分析</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_Toc9361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11</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_Toc12021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（一）财务管理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_Toc30206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1.财务管理制度健全性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_Toc12599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2.资金使用合规性和安全性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_Toc17856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3.会计基础信息完善性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_Toc4089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（二）资产管理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_Toc19073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1.资产总体情况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_Toc19073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_Toc32064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kern w:val="0"/>
              <w:sz w:val="28"/>
              <w:szCs w:val="28"/>
            </w:rPr>
            <w:t>2.资产管理制度及过程管理情况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_Toc32064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_Toc29740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（三）绩效管理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_Toc29740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_Toc32608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（四）结转结余率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_Toc30097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（五）部门预决算差异率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_Toc30097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_Toc21638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五、总体评价结论</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_Toc21638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16</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_Toc6207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（一）评价得分情况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_Toc6207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3"/>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rPr>
            <w:fldChar w:fldCharType="begin"/>
          </w:r>
          <w:r>
            <w:rPr>
              <w:rFonts w:hint="eastAsia" w:ascii="仿宋_GB2312" w:hAnsi="仿宋_GB2312" w:eastAsia="仿宋_GB2312" w:cs="仿宋_GB2312"/>
              <w:bCs/>
              <w:kern w:val="0"/>
              <w:sz w:val="28"/>
              <w:szCs w:val="28"/>
            </w:rPr>
            <w:instrText xml:space="preserve"> HYPERLINK \l _Toc31670 </w:instrText>
          </w:r>
          <w:r>
            <w:rPr>
              <w:rFonts w:hint="eastAsia" w:ascii="仿宋_GB2312" w:hAnsi="仿宋_GB2312" w:eastAsia="仿宋_GB2312" w:cs="仿宋_GB2312"/>
              <w:bCs/>
              <w:kern w:val="0"/>
              <w:sz w:val="28"/>
              <w:szCs w:val="28"/>
            </w:rPr>
            <w:fldChar w:fldCharType="separate"/>
          </w:r>
          <w:r>
            <w:rPr>
              <w:rFonts w:hint="eastAsia" w:ascii="仿宋_GB2312" w:hAnsi="仿宋_GB2312" w:eastAsia="仿宋_GB2312" w:cs="仿宋_GB2312"/>
              <w:sz w:val="28"/>
              <w:szCs w:val="28"/>
            </w:rPr>
            <w:t>（二）存在的问题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_Toc31670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kern w:val="0"/>
              <w:sz w:val="28"/>
              <w:szCs w:val="28"/>
            </w:rPr>
            <w:instrText xml:space="preserve"> HYPERLINK \l _Toc5142 </w:instrText>
          </w:r>
          <w:r>
            <w:rPr>
              <w:rFonts w:hint="eastAsia" w:ascii="仿宋_GB2312" w:hAnsi="仿宋_GB2312" w:eastAsia="仿宋_GB2312" w:cs="仿宋_GB2312"/>
              <w:b/>
              <w:bCs/>
              <w:kern w:val="0"/>
              <w:sz w:val="28"/>
              <w:szCs w:val="28"/>
            </w:rPr>
            <w:fldChar w:fldCharType="separate"/>
          </w:r>
          <w:r>
            <w:rPr>
              <w:rFonts w:hint="eastAsia" w:ascii="仿宋_GB2312" w:hAnsi="仿宋_GB2312" w:eastAsia="仿宋_GB2312" w:cs="仿宋_GB2312"/>
              <w:b/>
              <w:bCs/>
              <w:kern w:val="0"/>
              <w:sz w:val="28"/>
              <w:szCs w:val="28"/>
            </w:rPr>
            <w:t>六、措施建议</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_Toc5142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2"/>
            <w:tabs>
              <w:tab w:val="right" w:leader="dot" w:pos="8306"/>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kern w:val="0"/>
              <w:sz w:val="28"/>
              <w:szCs w:val="28"/>
            </w:rPr>
            <w:instrText xml:space="preserve"> HYPERLINK \l _Toc22172 </w:instrText>
          </w:r>
          <w:r>
            <w:rPr>
              <w:rFonts w:hint="eastAsia" w:ascii="仿宋_GB2312" w:hAnsi="仿宋_GB2312" w:eastAsia="仿宋_GB2312" w:cs="仿宋_GB2312"/>
              <w:b/>
              <w:bCs/>
              <w:kern w:val="0"/>
              <w:sz w:val="28"/>
              <w:szCs w:val="28"/>
            </w:rPr>
            <w:fldChar w:fldCharType="separate"/>
          </w:r>
          <w:r>
            <w:rPr>
              <w:rFonts w:hint="eastAsia" w:ascii="仿宋_GB2312" w:hAnsi="仿宋_GB2312" w:eastAsia="仿宋_GB2312" w:cs="仿宋_GB2312"/>
              <w:b/>
              <w:bCs/>
              <w:kern w:val="0"/>
              <w:sz w:val="28"/>
              <w:szCs w:val="28"/>
            </w:rPr>
            <w:t>七、附件</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_Toc22172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12"/>
            <w:tabs>
              <w:tab w:val="right" w:leader="dot" w:pos="8306"/>
            </w:tabs>
            <w:rPr>
              <w:rFonts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rPr>
            <w:fldChar w:fldCharType="end"/>
          </w:r>
        </w:p>
      </w:sdtContent>
    </w:sdt>
    <w:p>
      <w:pPr>
        <w:pStyle w:val="15"/>
        <w:rPr>
          <w:color w:val="auto"/>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spacing w:line="60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北京市妇女联合会</w:t>
      </w:r>
      <w:r>
        <w:rPr>
          <w:rFonts w:ascii="方正小标宋简体" w:eastAsia="方正小标宋简体"/>
          <w:color w:val="auto"/>
          <w:sz w:val="36"/>
          <w:szCs w:val="36"/>
        </w:rPr>
        <w:br w:type="textWrapping"/>
      </w:r>
      <w:r>
        <w:rPr>
          <w:rFonts w:hint="eastAsia" w:ascii="方正小标宋简体" w:eastAsia="方正小标宋简体"/>
          <w:color w:val="auto"/>
          <w:sz w:val="36"/>
          <w:szCs w:val="36"/>
        </w:rPr>
        <w:t>202</w:t>
      </w:r>
      <w:r>
        <w:rPr>
          <w:rFonts w:hint="eastAsia" w:ascii="方正小标宋简体" w:eastAsia="方正小标宋简体"/>
          <w:color w:val="auto"/>
          <w:sz w:val="36"/>
          <w:szCs w:val="36"/>
          <w:lang w:val="en-US" w:eastAsia="zh-CN"/>
        </w:rPr>
        <w:t>3</w:t>
      </w:r>
      <w:r>
        <w:rPr>
          <w:rFonts w:hint="eastAsia" w:ascii="方正小标宋简体" w:eastAsia="方正小标宋简体"/>
          <w:color w:val="auto"/>
          <w:sz w:val="36"/>
          <w:szCs w:val="36"/>
        </w:rPr>
        <w:t>年度部门整体绩效评价报告</w:t>
      </w:r>
    </w:p>
    <w:p>
      <w:pPr>
        <w:jc w:val="right"/>
        <w:rPr>
          <w:rFonts w:ascii="仿宋_GB2312" w:eastAsia="仿宋_GB2312" w:hAnsiTheme="minorEastAsia" w:cstheme="minorBidi"/>
          <w:color w:val="auto"/>
          <w:sz w:val="32"/>
          <w:szCs w:val="32"/>
        </w:rPr>
      </w:pPr>
      <w:r>
        <w:rPr>
          <w:rFonts w:hint="eastAsia" w:ascii="仿宋_GB2312" w:eastAsia="仿宋_GB2312" w:hAnsiTheme="minorEastAsia" w:cstheme="minorBidi"/>
          <w:color w:val="auto"/>
          <w:sz w:val="32"/>
          <w:szCs w:val="32"/>
        </w:rPr>
        <w:t>国誉咨字【</w:t>
      </w:r>
      <w:r>
        <w:rPr>
          <w:rFonts w:hint="eastAsia" w:ascii="仿宋_GB2312" w:eastAsia="仿宋_GB2312" w:hAnsiTheme="minorEastAsia" w:cstheme="minorBidi"/>
          <w:color w:val="auto"/>
          <w:sz w:val="32"/>
          <w:szCs w:val="32"/>
          <w:highlight w:val="none"/>
        </w:rPr>
        <w:t>202</w:t>
      </w:r>
      <w:r>
        <w:rPr>
          <w:rFonts w:hint="eastAsia" w:ascii="仿宋_GB2312" w:eastAsia="仿宋_GB2312" w:hAnsiTheme="minorEastAsia" w:cstheme="minorBidi"/>
          <w:color w:val="FF0000"/>
          <w:sz w:val="32"/>
          <w:szCs w:val="32"/>
          <w:highlight w:val="none"/>
          <w:lang w:val="en-US" w:eastAsia="zh-CN"/>
        </w:rPr>
        <w:t>X</w:t>
      </w:r>
      <w:r>
        <w:rPr>
          <w:rFonts w:hint="eastAsia" w:ascii="仿宋_GB2312" w:eastAsia="仿宋_GB2312" w:hAnsiTheme="minorEastAsia" w:cstheme="minorBidi"/>
          <w:color w:val="auto"/>
          <w:sz w:val="32"/>
          <w:szCs w:val="32"/>
          <w:highlight w:val="none"/>
        </w:rPr>
        <w:t>】第</w:t>
      </w:r>
      <w:r>
        <w:rPr>
          <w:rFonts w:hint="eastAsia" w:ascii="仿宋_GB2312" w:eastAsia="仿宋_GB2312" w:hAnsiTheme="minorEastAsia" w:cstheme="minorBidi"/>
          <w:color w:val="FF0000"/>
          <w:sz w:val="32"/>
          <w:szCs w:val="32"/>
          <w:highlight w:val="none"/>
          <w:lang w:val="en-US" w:eastAsia="zh-CN"/>
        </w:rPr>
        <w:t>XXX</w:t>
      </w:r>
      <w:r>
        <w:rPr>
          <w:rFonts w:hint="eastAsia" w:ascii="仿宋_GB2312" w:eastAsia="仿宋_GB2312" w:hAnsiTheme="minorEastAsia" w:cstheme="minorBidi"/>
          <w:color w:val="auto"/>
          <w:sz w:val="32"/>
          <w:szCs w:val="32"/>
          <w:highlight w:val="none"/>
        </w:rPr>
        <w:t>号</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为进一步加强预算绩效管理，强化支出责任，提高财政资金使用效益，考核财政支出效率和综合效果，根据</w:t>
      </w:r>
      <w:r>
        <w:rPr>
          <w:rFonts w:hint="eastAsia" w:ascii="仿宋_GB2312" w:hAnsi="仿宋_GB2312" w:eastAsia="仿宋_GB2312" w:cs="仿宋_GB2312"/>
          <w:color w:val="auto"/>
          <w:sz w:val="32"/>
        </w:rPr>
        <w:t>中共北京市委 北京市人民政府《关于全面实施预算绩效管理的实施意见》（京发〔2019〕12号）、</w:t>
      </w:r>
      <w:r>
        <w:rPr>
          <w:rFonts w:hint="eastAsia" w:ascii="仿宋_GB2312" w:hAnsi="楷体" w:eastAsia="仿宋_GB2312"/>
          <w:bCs/>
          <w:color w:val="auto"/>
          <w:kern w:val="0"/>
          <w:sz w:val="32"/>
          <w:szCs w:val="28"/>
        </w:rPr>
        <w:t>《北京市项目支出绩效评价管理办法》（京财绩效〔2020〕2146号）</w:t>
      </w:r>
      <w:r>
        <w:rPr>
          <w:rFonts w:hint="eastAsia" w:ascii="仿宋_GB2312" w:hAnsi="楷体" w:eastAsia="仿宋_GB2312"/>
          <w:bCs/>
          <w:color w:val="auto"/>
          <w:kern w:val="0"/>
          <w:sz w:val="32"/>
          <w:szCs w:val="28"/>
          <w:lang w:eastAsia="zh-CN"/>
        </w:rPr>
        <w:t>、</w:t>
      </w:r>
      <w:r>
        <w:rPr>
          <w:rFonts w:hint="eastAsia" w:ascii="仿宋_GB2312" w:hAnsi="仿宋_GB2312" w:eastAsia="仿宋_GB2312" w:cs="仿宋_GB2312"/>
          <w:color w:val="auto"/>
          <w:sz w:val="32"/>
          <w:lang w:eastAsia="zh-CN"/>
        </w:rPr>
        <w:t>《北京市市级政府购买服务预算绩效管理办法》（京财综〔2024〕213号）</w:t>
      </w:r>
      <w:r>
        <w:rPr>
          <w:rFonts w:hint="eastAsia" w:ascii="仿宋_GB2312" w:hAnsi="楷体" w:eastAsia="仿宋_GB2312"/>
          <w:bCs/>
          <w:color w:val="auto"/>
          <w:kern w:val="0"/>
          <w:sz w:val="32"/>
          <w:szCs w:val="28"/>
        </w:rPr>
        <w:t>，结合</w:t>
      </w:r>
      <w:r>
        <w:rPr>
          <w:rFonts w:hint="eastAsia" w:ascii="仿宋_GB2312" w:eastAsia="仿宋_GB2312"/>
          <w:color w:val="auto"/>
          <w:sz w:val="32"/>
          <w:szCs w:val="28"/>
        </w:rPr>
        <w:t>北京市财政局《关于开展2024年预算绩效管理相关工作的函》</w:t>
      </w:r>
      <w:r>
        <w:rPr>
          <w:rFonts w:hint="eastAsia" w:ascii="仿宋_GB2312" w:hAnsi="楷体" w:eastAsia="仿宋_GB2312"/>
          <w:bCs/>
          <w:color w:val="auto"/>
          <w:kern w:val="0"/>
          <w:sz w:val="32"/>
          <w:szCs w:val="28"/>
        </w:rPr>
        <w:t>的工作安排，北京国誉会计师事务所有限公司接受北京市妇女联合会（以下简称“市妇联”）</w:t>
      </w:r>
      <w:r>
        <w:rPr>
          <w:rFonts w:hint="eastAsia" w:ascii="仿宋_GB2312" w:hAnsi="仿宋_GB2312" w:eastAsia="仿宋_GB2312" w:cs="仿宋_GB2312"/>
          <w:color w:val="auto"/>
          <w:sz w:val="32"/>
        </w:rPr>
        <w:t>委托，</w:t>
      </w:r>
      <w:r>
        <w:rPr>
          <w:rFonts w:hint="eastAsia" w:ascii="仿宋_GB2312" w:hAnsi="楷体" w:eastAsia="仿宋_GB2312"/>
          <w:bCs/>
          <w:color w:val="auto"/>
          <w:kern w:val="0"/>
          <w:sz w:val="32"/>
          <w:szCs w:val="28"/>
        </w:rPr>
        <w:t>组织实施202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年度部门整体绩效评价工作，形成本绩效评价报告。</w:t>
      </w:r>
    </w:p>
    <w:p>
      <w:pPr>
        <w:spacing w:line="600" w:lineRule="exact"/>
        <w:ind w:firstLine="640" w:firstLineChars="200"/>
        <w:outlineLvl w:val="0"/>
        <w:rPr>
          <w:rFonts w:ascii="黑体" w:hAnsi="黑体" w:eastAsia="黑体" w:cs="宋体"/>
          <w:color w:val="auto"/>
          <w:kern w:val="0"/>
          <w:sz w:val="32"/>
          <w:szCs w:val="32"/>
        </w:rPr>
      </w:pPr>
      <w:bookmarkStart w:id="0" w:name="_Toc4850"/>
      <w:r>
        <w:rPr>
          <w:rFonts w:hint="eastAsia" w:ascii="黑体" w:hAnsi="黑体" w:eastAsia="黑体" w:cs="宋体"/>
          <w:color w:val="auto"/>
          <w:kern w:val="0"/>
          <w:sz w:val="32"/>
          <w:szCs w:val="32"/>
        </w:rPr>
        <w:t>一、部门概况</w:t>
      </w:r>
      <w:bookmarkEnd w:id="0"/>
    </w:p>
    <w:p>
      <w:pPr>
        <w:spacing w:line="600" w:lineRule="exact"/>
        <w:ind w:firstLine="643" w:firstLineChars="200"/>
        <w:outlineLvl w:val="1"/>
        <w:rPr>
          <w:rFonts w:ascii="楷体" w:hAnsi="楷体" w:eastAsia="楷体"/>
          <w:b/>
          <w:bCs/>
          <w:color w:val="auto"/>
          <w:sz w:val="32"/>
          <w:szCs w:val="32"/>
        </w:rPr>
      </w:pPr>
      <w:bookmarkStart w:id="1" w:name="_Toc18220"/>
      <w:r>
        <w:rPr>
          <w:rFonts w:hint="eastAsia" w:ascii="楷体" w:hAnsi="楷体" w:eastAsia="楷体"/>
          <w:b/>
          <w:bCs/>
          <w:color w:val="auto"/>
          <w:sz w:val="32"/>
          <w:szCs w:val="32"/>
        </w:rPr>
        <w:t>（一）机构设置及职责工作任务情况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ascii="仿宋_GB2312" w:hAnsi="楷体" w:eastAsia="仿宋_GB2312"/>
          <w:bCs/>
          <w:color w:val="auto"/>
          <w:kern w:val="0"/>
          <w:sz w:val="32"/>
          <w:szCs w:val="28"/>
        </w:rPr>
      </w:pPr>
      <w:bookmarkStart w:id="2" w:name="_Toc26782"/>
      <w:r>
        <w:rPr>
          <w:rFonts w:hint="eastAsia" w:ascii="仿宋_GB2312" w:hAnsi="楷体" w:eastAsia="仿宋_GB2312"/>
          <w:bCs/>
          <w:color w:val="auto"/>
          <w:kern w:val="0"/>
          <w:sz w:val="32"/>
          <w:szCs w:val="28"/>
        </w:rPr>
        <w:t>1.机构设置</w:t>
      </w:r>
      <w:bookmarkEnd w:id="2"/>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北京市妇女联合会（以下简称“市妇联”）成立于1949年11月，是中共北京市委领导下的北京市各族各界妇女的群众团体组织，是党和政府联系妇女群众的桥梁和纽带。</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机关设办公室、组织部、宣传部、联络部、基层组织建设部、妇女发展部、权益部、家庭儿童部、社会工作部9个部室和机关党委（党建工作部），北京市妇女儿童工作委员会办公室设在市妇联。市妇联所属事业单位共4个，分别为北京市妇女儿童服务中心、北京市妇女国际交流中心、北京市妇女干部学校</w:t>
      </w:r>
      <w:r>
        <w:rPr>
          <w:rFonts w:hint="eastAsia" w:ascii="仿宋_GB2312" w:hAnsi="楷体" w:eastAsia="仿宋_GB2312"/>
          <w:bCs/>
          <w:color w:val="auto"/>
          <w:kern w:val="0"/>
          <w:sz w:val="32"/>
          <w:szCs w:val="28"/>
          <w:lang w:val="en-US" w:eastAsia="zh-CN"/>
        </w:rPr>
        <w:t>和</w:t>
      </w:r>
      <w:r>
        <w:rPr>
          <w:rFonts w:hint="eastAsia" w:ascii="仿宋_GB2312" w:hAnsi="楷体" w:eastAsia="仿宋_GB2312"/>
          <w:bCs/>
          <w:color w:val="auto"/>
          <w:kern w:val="0"/>
          <w:sz w:val="32"/>
          <w:szCs w:val="28"/>
        </w:rPr>
        <w:t>北京市妇女发展研究中心。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eastAsia" w:ascii="仿宋_GB2312" w:hAnsi="楷体" w:eastAsia="仿宋_GB2312"/>
          <w:bCs/>
          <w:color w:val="auto"/>
          <w:kern w:val="0"/>
          <w:sz w:val="32"/>
          <w:szCs w:val="28"/>
        </w:rPr>
      </w:pPr>
      <w:bookmarkStart w:id="3" w:name="_Toc14232"/>
      <w:r>
        <w:rPr>
          <w:rFonts w:hint="eastAsia" w:ascii="仿宋_GB2312" w:hAnsi="楷体" w:eastAsia="仿宋_GB2312"/>
          <w:bCs/>
          <w:color w:val="auto"/>
          <w:kern w:val="0"/>
          <w:sz w:val="32"/>
          <w:szCs w:val="28"/>
        </w:rPr>
        <w:t>2.人员配置及人员构成情况</w:t>
      </w:r>
      <w:bookmarkEnd w:id="3"/>
    </w:p>
    <w:p>
      <w:pPr>
        <w:ind w:firstLine="640" w:firstLineChars="200"/>
        <w:rPr>
          <w:color w:val="auto"/>
        </w:rPr>
      </w:pPr>
      <w:r>
        <w:rPr>
          <w:rFonts w:ascii="仿宋_GB2312" w:hAnsi="楷体" w:eastAsia="仿宋_GB2312"/>
          <w:bCs/>
          <w:color w:val="auto"/>
          <w:kern w:val="0"/>
          <w:sz w:val="32"/>
          <w:szCs w:val="28"/>
        </w:rPr>
        <w:t>截至202</w:t>
      </w:r>
      <w:r>
        <w:rPr>
          <w:rFonts w:hint="eastAsia" w:ascii="仿宋_GB2312" w:hAnsi="楷体" w:eastAsia="仿宋_GB2312"/>
          <w:bCs/>
          <w:color w:val="auto"/>
          <w:kern w:val="0"/>
          <w:sz w:val="32"/>
          <w:szCs w:val="28"/>
          <w:lang w:val="en-US" w:eastAsia="zh-CN"/>
        </w:rPr>
        <w:t>3</w:t>
      </w:r>
      <w:r>
        <w:rPr>
          <w:rFonts w:ascii="仿宋_GB2312" w:hAnsi="楷体" w:eastAsia="仿宋_GB2312"/>
          <w:bCs/>
          <w:color w:val="auto"/>
          <w:kern w:val="0"/>
          <w:sz w:val="32"/>
          <w:szCs w:val="28"/>
        </w:rPr>
        <w:t>年12月31日，</w:t>
      </w:r>
      <w:r>
        <w:rPr>
          <w:rFonts w:hint="eastAsia" w:ascii="仿宋_GB2312" w:hAnsi="楷体" w:eastAsia="仿宋_GB2312"/>
          <w:bCs/>
          <w:color w:val="auto"/>
          <w:kern w:val="0"/>
          <w:sz w:val="32"/>
          <w:szCs w:val="28"/>
        </w:rPr>
        <w:t>市妇联</w:t>
      </w:r>
      <w:r>
        <w:rPr>
          <w:rFonts w:ascii="仿宋_GB2312" w:hAnsi="楷体" w:eastAsia="仿宋_GB2312"/>
          <w:bCs/>
          <w:color w:val="auto"/>
          <w:kern w:val="0"/>
          <w:sz w:val="32"/>
          <w:szCs w:val="28"/>
        </w:rPr>
        <w:t>实有</w:t>
      </w:r>
      <w:r>
        <w:rPr>
          <w:rFonts w:hint="eastAsia" w:ascii="仿宋_GB2312" w:hAnsi="楷体" w:eastAsia="仿宋_GB2312"/>
          <w:bCs/>
          <w:color w:val="auto"/>
          <w:kern w:val="0"/>
          <w:sz w:val="32"/>
          <w:szCs w:val="28"/>
        </w:rPr>
        <w:t>在职</w:t>
      </w:r>
      <w:r>
        <w:rPr>
          <w:rFonts w:ascii="仿宋_GB2312" w:hAnsi="楷体" w:eastAsia="仿宋_GB2312"/>
          <w:bCs/>
          <w:color w:val="auto"/>
          <w:kern w:val="0"/>
          <w:sz w:val="32"/>
          <w:szCs w:val="28"/>
        </w:rPr>
        <w:t>人</w:t>
      </w:r>
      <w:r>
        <w:rPr>
          <w:rFonts w:hint="eastAsia" w:ascii="仿宋_GB2312" w:hAnsi="楷体" w:eastAsia="仿宋_GB2312"/>
          <w:bCs/>
          <w:color w:val="auto"/>
          <w:kern w:val="0"/>
          <w:sz w:val="32"/>
          <w:szCs w:val="28"/>
        </w:rPr>
        <w:t>员13</w:t>
      </w:r>
      <w:r>
        <w:rPr>
          <w:rFonts w:hint="eastAsia" w:ascii="仿宋_GB2312" w:hAnsi="楷体" w:eastAsia="仿宋_GB2312"/>
          <w:bCs/>
          <w:color w:val="auto"/>
          <w:kern w:val="0"/>
          <w:sz w:val="32"/>
          <w:szCs w:val="28"/>
          <w:lang w:val="en-US" w:eastAsia="zh-CN"/>
        </w:rPr>
        <w:t>3</w:t>
      </w:r>
      <w:r>
        <w:rPr>
          <w:rFonts w:ascii="仿宋_GB2312" w:hAnsi="楷体" w:eastAsia="仿宋_GB2312"/>
          <w:bCs/>
          <w:color w:val="auto"/>
          <w:kern w:val="0"/>
          <w:sz w:val="32"/>
          <w:szCs w:val="28"/>
        </w:rPr>
        <w:t>人</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其中</w:t>
      </w:r>
      <w:r>
        <w:rPr>
          <w:rFonts w:ascii="仿宋_GB2312" w:hAnsi="楷体" w:eastAsia="仿宋_GB2312"/>
          <w:bCs/>
          <w:color w:val="auto"/>
          <w:kern w:val="0"/>
          <w:sz w:val="32"/>
          <w:szCs w:val="28"/>
        </w:rPr>
        <w:t>行政编制</w:t>
      </w:r>
      <w:r>
        <w:rPr>
          <w:rFonts w:hint="eastAsia" w:ascii="仿宋_GB2312" w:hAnsi="楷体" w:eastAsia="仿宋_GB2312"/>
          <w:bCs/>
          <w:color w:val="auto"/>
          <w:kern w:val="0"/>
          <w:sz w:val="32"/>
          <w:szCs w:val="28"/>
          <w:lang w:val="en-US" w:eastAsia="zh-CN"/>
        </w:rPr>
        <w:t>67</w:t>
      </w:r>
      <w:r>
        <w:rPr>
          <w:rFonts w:ascii="仿宋_GB2312" w:hAnsi="楷体" w:eastAsia="仿宋_GB2312"/>
          <w:bCs/>
          <w:color w:val="auto"/>
          <w:kern w:val="0"/>
          <w:sz w:val="32"/>
          <w:szCs w:val="28"/>
        </w:rPr>
        <w:t>人，</w:t>
      </w:r>
      <w:r>
        <w:rPr>
          <w:rFonts w:hint="eastAsia" w:ascii="仿宋_GB2312" w:hAnsi="楷体" w:eastAsia="仿宋_GB2312"/>
          <w:bCs/>
          <w:color w:val="auto"/>
          <w:kern w:val="0"/>
          <w:sz w:val="32"/>
          <w:szCs w:val="28"/>
          <w:lang w:val="en-US" w:eastAsia="zh-CN"/>
        </w:rPr>
        <w:t>实际在职65人；</w:t>
      </w:r>
      <w:r>
        <w:rPr>
          <w:rFonts w:ascii="仿宋_GB2312" w:hAnsi="楷体" w:eastAsia="仿宋_GB2312"/>
          <w:bCs/>
          <w:color w:val="auto"/>
          <w:kern w:val="0"/>
          <w:sz w:val="32"/>
          <w:szCs w:val="28"/>
        </w:rPr>
        <w:t>事业编制</w:t>
      </w:r>
      <w:r>
        <w:rPr>
          <w:rFonts w:hint="eastAsia" w:ascii="仿宋_GB2312" w:hAnsi="楷体" w:eastAsia="仿宋_GB2312"/>
          <w:bCs/>
          <w:color w:val="auto"/>
          <w:kern w:val="0"/>
          <w:sz w:val="32"/>
          <w:szCs w:val="28"/>
          <w:lang w:val="en-US" w:eastAsia="zh-CN"/>
        </w:rPr>
        <w:t>74</w:t>
      </w:r>
      <w:r>
        <w:rPr>
          <w:rFonts w:ascii="仿宋_GB2312" w:hAnsi="楷体" w:eastAsia="仿宋_GB2312"/>
          <w:bCs/>
          <w:color w:val="auto"/>
          <w:kern w:val="0"/>
          <w:sz w:val="32"/>
          <w:szCs w:val="28"/>
        </w:rPr>
        <w:t>人</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实际在职63人；聘用人员5人。离退休人员77人，其中</w:t>
      </w:r>
      <w:r>
        <w:rPr>
          <w:rFonts w:ascii="仿宋_GB2312" w:hAnsi="楷体" w:eastAsia="仿宋_GB2312"/>
          <w:bCs/>
          <w:color w:val="auto"/>
          <w:kern w:val="0"/>
          <w:sz w:val="32"/>
          <w:szCs w:val="28"/>
        </w:rPr>
        <w:t>离休人员</w:t>
      </w:r>
      <w:r>
        <w:rPr>
          <w:rFonts w:hint="eastAsia" w:ascii="仿宋_GB2312" w:hAnsi="楷体" w:eastAsia="仿宋_GB2312"/>
          <w:bCs/>
          <w:color w:val="auto"/>
          <w:kern w:val="0"/>
          <w:sz w:val="32"/>
          <w:szCs w:val="28"/>
          <w:lang w:val="en-US" w:eastAsia="zh-CN"/>
        </w:rPr>
        <w:t>3</w:t>
      </w:r>
      <w:r>
        <w:rPr>
          <w:rFonts w:ascii="仿宋_GB2312" w:hAnsi="楷体" w:eastAsia="仿宋_GB2312"/>
          <w:bCs/>
          <w:color w:val="auto"/>
          <w:kern w:val="0"/>
          <w:sz w:val="32"/>
          <w:szCs w:val="28"/>
        </w:rPr>
        <w:t>人，退休人员</w:t>
      </w:r>
      <w:r>
        <w:rPr>
          <w:rFonts w:hint="eastAsia" w:ascii="仿宋_GB2312" w:hAnsi="楷体" w:eastAsia="仿宋_GB2312"/>
          <w:bCs/>
          <w:color w:val="auto"/>
          <w:kern w:val="0"/>
          <w:sz w:val="32"/>
          <w:szCs w:val="28"/>
          <w:lang w:val="en-US" w:eastAsia="zh-CN"/>
        </w:rPr>
        <w:t>74</w:t>
      </w:r>
      <w:r>
        <w:rPr>
          <w:rFonts w:ascii="仿宋_GB2312" w:hAnsi="楷体" w:eastAsia="仿宋_GB2312"/>
          <w:bCs/>
          <w:color w:val="auto"/>
          <w:kern w:val="0"/>
          <w:sz w:val="32"/>
          <w:szCs w:val="28"/>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eastAsia" w:ascii="仿宋_GB2312" w:hAnsi="楷体" w:eastAsia="仿宋_GB2312"/>
          <w:bCs/>
          <w:color w:val="auto"/>
          <w:kern w:val="0"/>
          <w:sz w:val="32"/>
          <w:szCs w:val="28"/>
        </w:rPr>
      </w:pPr>
      <w:bookmarkStart w:id="4" w:name="_Toc10151"/>
      <w:r>
        <w:rPr>
          <w:rFonts w:hint="eastAsia" w:ascii="仿宋_GB2312" w:hAnsi="楷体" w:eastAsia="仿宋_GB2312"/>
          <w:bCs/>
          <w:color w:val="auto"/>
          <w:kern w:val="0"/>
          <w:sz w:val="32"/>
          <w:szCs w:val="28"/>
        </w:rPr>
        <w:t>3.主要职能</w:t>
      </w:r>
      <w:bookmarkEnd w:id="4"/>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市妇联的基本职能是代表和维护妇女权益，促进男女平等。主要职责如下：</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坚持正确的政治方向，团结教育首都各族各界妇女以及各类妇女组织贯彻执行国家有关方针、政策、法律、法规及本市的有关规定，同党中央在思想上、政治上、行动上保持高度一致。</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2</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紧密围绕市委和市政府的中心任务开展工作，团结、动员全市妇女群众投身改革开放和首都的两个文明建设，积极促进首都经济发展和社会进步。</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宣传马克思主义妇女观和男女平等的思想</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教育、引导妇女树立正确的世界观、人生观、价值观，弘扬“自尊、自信、自立、自强”精神，积极开展对妇女的教育培训。</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代表妇女参与国家和社会事务的民主管理和民主监督；关注并加强研究涉及妇女切身利益的热点、难点问题，及时向市委和市政府反映社情民意，提出对策建议；参与研究制定有关妇女儿童的法律、法规和政策。</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5</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坚持为妇女儿童服务、为基层服务，加强与社会各界的联系，协调推动全社会为妇女儿童办实事。</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6</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负责指导市妇联机关所属事业单位及女性团体的工作。</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7</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指导区县级妇联依据《中华全国妇女联合会章程》和妇女代表大会的任务，开展妇女儿童工作；联系团体会员并给予工作指导。</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8</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加强同香港、澳门特别行政区，台湾及海外侨胞妇女的联谊；拓展同世界各国妇女和妇女组织的友好交往，增进了解和友谊，开展国际合作。</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9</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承担北京市妇女儿童工作委员会的日常工作。</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10</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研究提出全市妇女组织参与社会建设的规划、计划和政策、文件；统筹协调妇联系统“枢纽型”社会组织建设；负责妇女儿童类社会组织业务审查和日常联系、服务和管理工作；协调指导各区、各有关单位开展妇女社会组织组建工作。</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11</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组织指导推动和谐家庭创建活动和家庭文化建设等工作，指导各级妇联配合有关方面开展家庭教育活动；参与研究拟定有关儿童保护方面的法律法规和政策，协助推动儿童发展规划实施；组织指导各级妇联开展有益于儿童身心健康的活动，宣传儿童优先理念。</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12</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承办市委、市政府交办的其他事项。</w:t>
      </w:r>
    </w:p>
    <w:p>
      <w:pPr>
        <w:spacing w:line="600" w:lineRule="exact"/>
        <w:ind w:firstLine="643" w:firstLineChars="200"/>
        <w:outlineLvl w:val="1"/>
        <w:rPr>
          <w:rFonts w:hint="eastAsia" w:ascii="楷体" w:hAnsi="楷体" w:eastAsia="楷体" w:cs="Times New Roman"/>
          <w:color w:val="auto"/>
          <w:sz w:val="32"/>
          <w:szCs w:val="32"/>
        </w:rPr>
      </w:pPr>
      <w:bookmarkStart w:id="5" w:name="_Toc7092"/>
      <w:r>
        <w:rPr>
          <w:rFonts w:hint="eastAsia" w:ascii="楷体" w:hAnsi="楷体" w:eastAsia="楷体" w:cs="Times New Roman"/>
          <w:b/>
          <w:bCs/>
          <w:color w:val="auto"/>
          <w:sz w:val="32"/>
          <w:szCs w:val="32"/>
        </w:rPr>
        <w:t>（二）部门整体绩效目标设立情况</w:t>
      </w:r>
      <w:bookmarkEnd w:id="5"/>
    </w:p>
    <w:p>
      <w:pPr>
        <w:ind w:firstLine="640" w:firstLineChars="200"/>
        <w:rPr>
          <w:rFonts w:hint="default" w:ascii="仿宋_GB2312" w:hAnsi="楷体" w:eastAsia="仿宋_GB2312"/>
          <w:b/>
          <w:bCs w:val="0"/>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以习近平新时代中国特色社会主义思想为指导，学习宣传贯彻党的二十大精神，深入贯彻习近平总书记关于妇女儿童和家庭、妇联工作重要论述以及对北京一系列重要讲话精神，着力强化妇女思想政治引领，着力团结妇女奋进新征程、建功新时代，着力加强家庭家教家风建设，着力做实联系服务妇女工作，着力深化妇联组织改革，有效发挥桥梁纽带作用，引导凝聚广大妇女为北京率先基本实现社会主义现代化开好局起好步贡献巾帼力量。</w:t>
      </w:r>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市妇联部门整体绩效目标依据国家法律法规、北京市国民经济和社会发展总体规划，紧紧围绕单位职能职责设定，符合部门中长期实施规划。部门整体绩效目标符合客观实际，结合年度工作任务，既体现了单位履职范围内的常规工作任务，也结合特殊重要时点突出了年度新增特色重点工作内容。具体指标设置情况见下表：</w:t>
      </w:r>
    </w:p>
    <w:p>
      <w:pPr>
        <w:widowControl/>
        <w:jc w:val="center"/>
        <w:textAlignment w:val="center"/>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tbl>
      <w:tblPr>
        <w:tblStyle w:val="17"/>
        <w:tblW w:w="9831" w:type="dxa"/>
        <w:jc w:val="center"/>
        <w:tblLayout w:type="fixed"/>
        <w:tblCellMar>
          <w:top w:w="0" w:type="dxa"/>
          <w:left w:w="108" w:type="dxa"/>
          <w:bottom w:w="0" w:type="dxa"/>
          <w:right w:w="108" w:type="dxa"/>
        </w:tblCellMar>
      </w:tblPr>
      <w:tblGrid>
        <w:gridCol w:w="477"/>
        <w:gridCol w:w="1040"/>
        <w:gridCol w:w="1650"/>
        <w:gridCol w:w="1693"/>
        <w:gridCol w:w="1510"/>
        <w:gridCol w:w="1532"/>
        <w:gridCol w:w="535"/>
        <w:gridCol w:w="665"/>
        <w:gridCol w:w="729"/>
      </w:tblGrid>
      <w:tr>
        <w:tblPrEx>
          <w:tblCellMar>
            <w:top w:w="0" w:type="dxa"/>
            <w:left w:w="108" w:type="dxa"/>
            <w:bottom w:w="0" w:type="dxa"/>
            <w:right w:w="108" w:type="dxa"/>
          </w:tblCellMar>
        </w:tblPrEx>
        <w:trPr>
          <w:trHeight w:val="456" w:hRule="atLeast"/>
          <w:jc w:val="center"/>
        </w:trPr>
        <w:tc>
          <w:tcPr>
            <w:tcW w:w="9831"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center"/>
              <w:textAlignment w:val="center"/>
              <w:rPr>
                <w:rFonts w:ascii="宋体" w:hAnsi="宋体" w:cs="宋体"/>
                <w:b/>
                <w:bCs/>
                <w:color w:val="auto"/>
                <w:sz w:val="32"/>
                <w:szCs w:val="32"/>
              </w:rPr>
            </w:pPr>
            <w:r>
              <w:rPr>
                <w:rFonts w:hint="eastAsia" w:ascii="宋体" w:hAnsi="宋体" w:cs="宋体"/>
                <w:b/>
                <w:bCs/>
                <w:color w:val="auto"/>
                <w:kern w:val="0"/>
                <w:sz w:val="32"/>
                <w:szCs w:val="32"/>
              </w:rPr>
              <w:t>部门整体支出绩效目标申报表</w:t>
            </w:r>
          </w:p>
        </w:tc>
      </w:tr>
      <w:tr>
        <w:tblPrEx>
          <w:tblCellMar>
            <w:top w:w="0" w:type="dxa"/>
            <w:left w:w="108" w:type="dxa"/>
            <w:bottom w:w="0" w:type="dxa"/>
            <w:right w:w="108" w:type="dxa"/>
          </w:tblCellMar>
        </w:tblPrEx>
        <w:trPr>
          <w:trHeight w:val="456" w:hRule="atLeast"/>
          <w:jc w:val="center"/>
        </w:trPr>
        <w:tc>
          <w:tcPr>
            <w:tcW w:w="9831" w:type="dxa"/>
            <w:gridSpan w:val="9"/>
            <w:tcBorders>
              <w:top w:val="single" w:color="FFFFFF" w:sz="4" w:space="0"/>
              <w:left w:val="single" w:color="FFFFFF" w:sz="4" w:space="0"/>
              <w:bottom w:val="single" w:color="auto" w:sz="4" w:space="0"/>
              <w:right w:val="single" w:color="FFFFFF"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3</w:t>
            </w:r>
            <w:r>
              <w:rPr>
                <w:rFonts w:hint="eastAsia" w:ascii="宋体" w:hAnsi="宋体" w:cs="宋体"/>
                <w:color w:val="auto"/>
                <w:kern w:val="0"/>
                <w:szCs w:val="21"/>
              </w:rPr>
              <w:t>年度）</w:t>
            </w:r>
          </w:p>
        </w:tc>
      </w:tr>
      <w:tr>
        <w:tblPrEx>
          <w:tblCellMar>
            <w:top w:w="0" w:type="dxa"/>
            <w:left w:w="108" w:type="dxa"/>
            <w:bottom w:w="0" w:type="dxa"/>
            <w:right w:w="108" w:type="dxa"/>
          </w:tblCellMar>
        </w:tblPrEx>
        <w:trPr>
          <w:trHeight w:val="624" w:hRule="atLeast"/>
          <w:jc w:val="center"/>
        </w:trPr>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部门（单位）名称</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北京市妇女联合会</w:t>
            </w:r>
          </w:p>
        </w:tc>
      </w:tr>
      <w:tr>
        <w:tblPrEx>
          <w:tblCellMar>
            <w:top w:w="0" w:type="dxa"/>
            <w:left w:w="108" w:type="dxa"/>
            <w:bottom w:w="0" w:type="dxa"/>
            <w:right w:w="108" w:type="dxa"/>
          </w:tblCellMar>
        </w:tblPrEx>
        <w:trPr>
          <w:trHeight w:val="331" w:hRule="atLeast"/>
          <w:jc w:val="center"/>
        </w:trPr>
        <w:tc>
          <w:tcPr>
            <w:tcW w:w="15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总体资金情况</w:t>
            </w:r>
          </w:p>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预算支出总额</w:t>
            </w:r>
          </w:p>
        </w:tc>
        <w:tc>
          <w:tcPr>
            <w:tcW w:w="4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财政拨款</w:t>
            </w:r>
          </w:p>
        </w:tc>
        <w:tc>
          <w:tcPr>
            <w:tcW w:w="1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其他资金</w:t>
            </w:r>
          </w:p>
        </w:tc>
      </w:tr>
      <w:tr>
        <w:tblPrEx>
          <w:tblCellMar>
            <w:top w:w="0" w:type="dxa"/>
            <w:left w:w="108" w:type="dxa"/>
            <w:bottom w:w="0" w:type="dxa"/>
            <w:right w:w="108" w:type="dxa"/>
          </w:tblCellMar>
        </w:tblPrEx>
        <w:trPr>
          <w:trHeight w:val="331" w:hRule="atLeast"/>
          <w:jc w:val="center"/>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合计</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基本支出</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项目支出</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合计</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基本支出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项目支出</w:t>
            </w:r>
          </w:p>
        </w:tc>
      </w:tr>
      <w:tr>
        <w:tblPrEx>
          <w:tblCellMar>
            <w:top w:w="0" w:type="dxa"/>
            <w:left w:w="108" w:type="dxa"/>
            <w:bottom w:w="0" w:type="dxa"/>
            <w:right w:w="108" w:type="dxa"/>
          </w:tblCellMar>
        </w:tblPrEx>
        <w:trPr>
          <w:trHeight w:val="331" w:hRule="atLeast"/>
          <w:jc w:val="center"/>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auto"/>
                <w:szCs w:val="21"/>
              </w:rPr>
            </w:pPr>
            <w:r>
              <w:rPr>
                <w:rFonts w:hint="eastAsia" w:ascii="宋体" w:hAnsi="宋体" w:cs="宋体"/>
                <w:color w:val="auto"/>
                <w:kern w:val="0"/>
                <w:szCs w:val="21"/>
              </w:rPr>
              <w:t>9,090.432192</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auto"/>
                <w:szCs w:val="21"/>
              </w:rPr>
            </w:pPr>
            <w:r>
              <w:rPr>
                <w:rFonts w:hint="eastAsia" w:ascii="宋体" w:hAnsi="宋体" w:cs="宋体"/>
                <w:color w:val="auto"/>
                <w:kern w:val="0"/>
                <w:szCs w:val="21"/>
              </w:rPr>
              <w:t>9,090.432192</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auto"/>
                <w:szCs w:val="21"/>
              </w:rPr>
            </w:pPr>
            <w:r>
              <w:rPr>
                <w:rFonts w:hint="eastAsia" w:ascii="宋体" w:hAnsi="宋体" w:cs="宋体"/>
                <w:color w:val="auto"/>
                <w:kern w:val="0"/>
                <w:szCs w:val="21"/>
              </w:rPr>
              <w:t>6</w:t>
            </w:r>
            <w:r>
              <w:rPr>
                <w:rFonts w:hint="eastAsia" w:ascii="宋体" w:hAnsi="宋体" w:cs="宋体"/>
                <w:color w:val="auto"/>
                <w:kern w:val="0"/>
                <w:szCs w:val="21"/>
                <w:lang w:val="en-US" w:eastAsia="zh-CN"/>
              </w:rPr>
              <w:t>,</w:t>
            </w:r>
            <w:r>
              <w:rPr>
                <w:rFonts w:hint="eastAsia" w:ascii="宋体" w:hAnsi="宋体" w:cs="宋体"/>
                <w:color w:val="auto"/>
                <w:kern w:val="0"/>
                <w:szCs w:val="21"/>
              </w:rPr>
              <w:t>242.516561</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auto"/>
                <w:szCs w:val="21"/>
              </w:rPr>
            </w:pPr>
            <w:r>
              <w:rPr>
                <w:rFonts w:hint="eastAsia" w:ascii="宋体" w:hAnsi="宋体" w:cs="宋体"/>
                <w:color w:val="auto"/>
                <w:kern w:val="0"/>
                <w:szCs w:val="21"/>
              </w:rPr>
              <w:t>2,847.915631</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auto"/>
                <w:szCs w:val="21"/>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auto"/>
                <w:szCs w:val="21"/>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auto"/>
                <w:szCs w:val="21"/>
              </w:rPr>
            </w:pPr>
          </w:p>
        </w:tc>
      </w:tr>
      <w:tr>
        <w:tblPrEx>
          <w:tblCellMar>
            <w:top w:w="0" w:type="dxa"/>
            <w:left w:w="108" w:type="dxa"/>
            <w:bottom w:w="0" w:type="dxa"/>
            <w:right w:w="108" w:type="dxa"/>
          </w:tblCellMar>
        </w:tblPrEx>
        <w:trPr>
          <w:trHeight w:val="701" w:hRule="atLeast"/>
          <w:jc w:val="center"/>
        </w:trPr>
        <w:tc>
          <w:tcPr>
            <w:tcW w:w="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整体绩效目标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整体绩效目标</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以习近平新时代中国特色社会主义思想为指导，深入学习贯彻党的十九大、二十大精神，深入贯彻落实习近平总书记对北京一系列重要讲话精神以及关于妇女和妇女工作、妇联改革、家庭家教家风建设重要论述精神，完整、准确、全面贯彻新发展理念，坚持以新时代首都发展为统领，围绕中心、服务大局，强化引领服务联系，以首善标准推进首都高质量发展发挥半边天作用。</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一是以学习宣传贯彻党的二十大精神为主线，团结引领广大妇女更加坚定听党话跟党走。</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二是以“巾帼心向党 建功新时代”为主题，团结带领广大妇女在新时代首都发展中发挥“半边天”作用。</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三是以践行社会主义核心价值观为统领，在更高水平上加强家庭家教家风建设。常态化开展寻找“首都最美家庭”活动，引领广大妇女并带动家庭参与家庭文明建设。</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四是以做深做实维权关爱服务为抓手，切实把维权工作做在平常、抓在经常、落到基层。落实好党政主导的妇女权益维护五项机制，重点做好发现报告、联防联动、关爱服务、舆情应对以及工作监督，坚决守牢涉妇女儿童领域政治安全底线。</w:t>
            </w:r>
          </w:p>
          <w:p>
            <w:pPr>
              <w:widowControl/>
              <w:jc w:val="left"/>
              <w:textAlignment w:val="center"/>
              <w:rPr>
                <w:rFonts w:ascii="宋体" w:hAnsi="宋体" w:cs="宋体"/>
                <w:color w:val="auto"/>
                <w:szCs w:val="21"/>
              </w:rPr>
            </w:pPr>
            <w:r>
              <w:rPr>
                <w:rFonts w:hint="eastAsia" w:ascii="宋体" w:hAnsi="宋体" w:cs="宋体"/>
                <w:color w:val="auto"/>
                <w:kern w:val="0"/>
                <w:szCs w:val="21"/>
              </w:rPr>
              <w:t>五是以深化妇联改革和建设为目标，不断增强妇联工作和妇联组织政治性先进性群众性。</w:t>
            </w:r>
          </w:p>
        </w:tc>
      </w:tr>
      <w:tr>
        <w:tblPrEx>
          <w:tblCellMar>
            <w:top w:w="0" w:type="dxa"/>
            <w:left w:w="108" w:type="dxa"/>
            <w:bottom w:w="0" w:type="dxa"/>
            <w:right w:w="108" w:type="dxa"/>
          </w:tblCellMar>
        </w:tblPrEx>
        <w:trPr>
          <w:trHeight w:val="294"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其他</w:t>
            </w:r>
          </w:p>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说明</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Cs w:val="21"/>
              </w:rPr>
            </w:pPr>
          </w:p>
        </w:tc>
      </w:tr>
      <w:tr>
        <w:tblPrEx>
          <w:tblCellMar>
            <w:top w:w="0" w:type="dxa"/>
            <w:left w:w="108" w:type="dxa"/>
            <w:bottom w:w="0" w:type="dxa"/>
            <w:right w:w="108" w:type="dxa"/>
          </w:tblCellMar>
        </w:tblPrEx>
        <w:trPr>
          <w:trHeight w:val="331"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活动</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绩效指标</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指标性质</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指标值</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度量单位</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产出指标数量指标寻找“首都最美家庭”活动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场</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妇女儿童公益志愿服务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产出指标质量指标高质量完成巾帼志愿服务活动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r>
        <w:tblPrEx>
          <w:tblCellMar>
            <w:top w:w="0" w:type="dxa"/>
            <w:left w:w="108" w:type="dxa"/>
            <w:bottom w:w="0" w:type="dxa"/>
            <w:right w:w="108" w:type="dxa"/>
          </w:tblCellMar>
        </w:tblPrEx>
        <w:trPr>
          <w:trHeight w:val="759"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妇女维权及市妇儿规划编制实施督导</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效益指标社会效益指标进一步提升领导干部、公众对男女平等基本国策和儿童优先原则的意识</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城乡妇女岗位建功及创业就业</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效益指标社会效益指标女性科技人才培育力度</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城乡妇女岗位建功及创业就业</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效益指标社会效益指标对口援建、京津冀地区妇女创业就业能力</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效益指标社会效益指标优秀女性典型示范引领作用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妇女维权及市妇儿规划编制实施督导</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满意度指标服务对象满意度指标被服务妇女群众满意度</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85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产出指标数量指标家庭教育指导工作体系建设</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个</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产出指标数量指标家庭教育课程开发和指导服务</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个</w:t>
            </w:r>
          </w:p>
        </w:tc>
      </w:tr>
      <w:tr>
        <w:tblPrEx>
          <w:tblCellMar>
            <w:top w:w="0" w:type="dxa"/>
            <w:left w:w="108" w:type="dxa"/>
            <w:bottom w:w="0" w:type="dxa"/>
            <w:right w:w="108" w:type="dxa"/>
          </w:tblCellMar>
        </w:tblPrEx>
        <w:trPr>
          <w:trHeight w:val="506"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产出指标质量指标男女平等意识提高</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项</w:t>
            </w:r>
          </w:p>
        </w:tc>
      </w:tr>
    </w:tbl>
    <w:p>
      <w:pPr>
        <w:spacing w:line="600" w:lineRule="exact"/>
        <w:ind w:firstLine="640" w:firstLineChars="200"/>
        <w:outlineLvl w:val="0"/>
        <w:rPr>
          <w:rFonts w:ascii="黑体" w:hAnsi="黑体" w:eastAsia="黑体" w:cs="宋体"/>
          <w:color w:val="auto"/>
          <w:kern w:val="0"/>
          <w:sz w:val="32"/>
          <w:szCs w:val="32"/>
        </w:rPr>
      </w:pPr>
      <w:bookmarkStart w:id="6" w:name="_Toc8530"/>
      <w:r>
        <w:rPr>
          <w:rFonts w:hint="eastAsia" w:ascii="黑体" w:hAnsi="黑体" w:eastAsia="黑体" w:cs="宋体"/>
          <w:color w:val="auto"/>
          <w:kern w:val="0"/>
          <w:sz w:val="32"/>
          <w:szCs w:val="32"/>
        </w:rPr>
        <w:t>二</w:t>
      </w:r>
      <w:r>
        <w:rPr>
          <w:rFonts w:ascii="黑体" w:hAnsi="黑体" w:eastAsia="黑体" w:cs="宋体"/>
          <w:color w:val="auto"/>
          <w:kern w:val="0"/>
          <w:sz w:val="32"/>
          <w:szCs w:val="32"/>
        </w:rPr>
        <w:t>、</w:t>
      </w:r>
      <w:r>
        <w:rPr>
          <w:rFonts w:hint="eastAsia" w:ascii="黑体" w:hAnsi="黑体" w:eastAsia="黑体" w:cs="宋体"/>
          <w:color w:val="auto"/>
          <w:kern w:val="0"/>
          <w:sz w:val="32"/>
          <w:szCs w:val="32"/>
        </w:rPr>
        <w:t>当年</w:t>
      </w:r>
      <w:r>
        <w:rPr>
          <w:rFonts w:ascii="黑体" w:hAnsi="黑体" w:eastAsia="黑体" w:cs="宋体"/>
          <w:color w:val="auto"/>
          <w:kern w:val="0"/>
          <w:sz w:val="32"/>
          <w:szCs w:val="32"/>
        </w:rPr>
        <w:t>预算执行情况</w:t>
      </w:r>
      <w:bookmarkEnd w:id="6"/>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年，市财政批复部门预算9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132.522386万元，其中，基本支出预算6</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310.654583万元，项目支出预算2</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821.867803万元。</w:t>
      </w:r>
      <w:r>
        <w:rPr>
          <w:rFonts w:hint="eastAsia" w:ascii="仿宋_GB2312" w:hAnsi="宋体" w:eastAsia="仿宋_GB2312" w:cs="宋体"/>
          <w:b w:val="0"/>
          <w:bCs w:val="0"/>
          <w:color w:val="auto"/>
          <w:kern w:val="0"/>
          <w:sz w:val="32"/>
          <w:szCs w:val="32"/>
          <w:lang w:val="en-US" w:eastAsia="zh-CN"/>
        </w:rPr>
        <w:t>资金总体</w:t>
      </w:r>
      <w:r>
        <w:rPr>
          <w:rFonts w:hint="eastAsia" w:ascii="仿宋_GB2312" w:hAnsi="仿宋_GB2312" w:eastAsia="仿宋_GB2312" w:cs="仿宋_GB2312"/>
          <w:color w:val="auto"/>
          <w:kern w:val="0"/>
          <w:sz w:val="32"/>
          <w:szCs w:val="32"/>
        </w:rPr>
        <w:t>支出8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798.660669</w:t>
      </w:r>
      <w:r>
        <w:rPr>
          <w:rFonts w:hint="eastAsia" w:ascii="仿宋_GB2312" w:hAnsi="楷体" w:eastAsia="仿宋_GB2312"/>
          <w:bCs/>
          <w:color w:val="auto"/>
          <w:kern w:val="0"/>
          <w:sz w:val="32"/>
          <w:szCs w:val="28"/>
        </w:rPr>
        <w:t>万元，其中，基本支出5</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996.229987万元，项目支出2</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802.430682万元。预算执行率9</w:t>
      </w:r>
      <w:r>
        <w:rPr>
          <w:rFonts w:hint="eastAsia" w:ascii="仿宋_GB2312" w:hAnsi="楷体" w:eastAsia="仿宋_GB2312"/>
          <w:bCs/>
          <w:color w:val="auto"/>
          <w:kern w:val="0"/>
          <w:sz w:val="32"/>
          <w:szCs w:val="28"/>
          <w:lang w:val="en-US" w:eastAsia="zh-CN"/>
        </w:rPr>
        <w:t>6</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34</w:t>
      </w:r>
      <w:r>
        <w:rPr>
          <w:rFonts w:hint="eastAsia" w:ascii="仿宋_GB2312" w:hAnsi="楷体" w:eastAsia="仿宋_GB2312"/>
          <w:bCs/>
          <w:color w:val="auto"/>
          <w:kern w:val="0"/>
          <w:sz w:val="32"/>
          <w:szCs w:val="28"/>
        </w:rPr>
        <w:t>%。</w:t>
      </w:r>
    </w:p>
    <w:p>
      <w:pPr>
        <w:spacing w:line="600" w:lineRule="exact"/>
        <w:ind w:firstLine="640" w:firstLineChars="200"/>
        <w:outlineLvl w:val="0"/>
        <w:rPr>
          <w:rFonts w:ascii="黑体" w:hAnsi="黑体" w:eastAsia="黑体" w:cs="宋体"/>
          <w:color w:val="auto"/>
          <w:kern w:val="0"/>
          <w:sz w:val="32"/>
          <w:szCs w:val="32"/>
        </w:rPr>
      </w:pPr>
      <w:bookmarkStart w:id="7" w:name="_Toc8151"/>
      <w:r>
        <w:rPr>
          <w:rFonts w:hint="eastAsia" w:ascii="黑体" w:hAnsi="黑体" w:eastAsia="黑体" w:cs="宋体"/>
          <w:color w:val="auto"/>
          <w:kern w:val="0"/>
          <w:sz w:val="32"/>
          <w:szCs w:val="32"/>
        </w:rPr>
        <w:t>三</w:t>
      </w:r>
      <w:r>
        <w:rPr>
          <w:rFonts w:ascii="黑体" w:hAnsi="黑体" w:eastAsia="黑体" w:cs="宋体"/>
          <w:color w:val="auto"/>
          <w:kern w:val="0"/>
          <w:sz w:val="32"/>
          <w:szCs w:val="32"/>
        </w:rPr>
        <w:t>、整体绩效目标实现情况</w:t>
      </w:r>
      <w:bookmarkEnd w:id="7"/>
    </w:p>
    <w:p>
      <w:pPr>
        <w:spacing w:line="600" w:lineRule="exact"/>
        <w:ind w:firstLine="643" w:firstLineChars="200"/>
        <w:outlineLvl w:val="1"/>
        <w:rPr>
          <w:rFonts w:ascii="楷体" w:hAnsi="楷体" w:eastAsia="楷体"/>
          <w:b/>
          <w:bCs/>
          <w:color w:val="auto"/>
          <w:sz w:val="32"/>
          <w:szCs w:val="32"/>
        </w:rPr>
      </w:pPr>
      <w:bookmarkStart w:id="8" w:name="_Toc6171"/>
      <w:r>
        <w:rPr>
          <w:rFonts w:hint="eastAsia" w:ascii="楷体" w:hAnsi="楷体" w:eastAsia="楷体"/>
          <w:b/>
          <w:bCs/>
          <w:color w:val="auto"/>
          <w:sz w:val="32"/>
          <w:szCs w:val="32"/>
        </w:rPr>
        <w:t>（一）产出完成情况分析</w:t>
      </w:r>
      <w:bookmarkEnd w:id="8"/>
    </w:p>
    <w:p>
      <w:pPr>
        <w:ind w:firstLine="640" w:firstLineChars="200"/>
        <w:rPr>
          <w:rFonts w:hint="default" w:ascii="仿宋_GB2312" w:eastAsia="仿宋_GB2312" w:cs="Times New Roman"/>
          <w:bCs/>
          <w:color w:val="auto"/>
          <w:kern w:val="2"/>
          <w:sz w:val="32"/>
          <w:szCs w:val="32"/>
          <w:lang w:val="en-US" w:eastAsia="zh-CN" w:bidi="ar-SA"/>
        </w:rPr>
      </w:pPr>
      <w:r>
        <w:rPr>
          <w:rFonts w:hint="eastAsia" w:ascii="仿宋_GB2312" w:hAnsi="楷体" w:eastAsia="仿宋_GB2312"/>
          <w:bCs/>
          <w:color w:val="auto"/>
          <w:kern w:val="0"/>
          <w:sz w:val="32"/>
          <w:szCs w:val="28"/>
          <w:lang w:val="en-US" w:eastAsia="zh-CN"/>
        </w:rPr>
        <w:t>2023年，市妇联</w:t>
      </w:r>
      <w:r>
        <w:rPr>
          <w:rFonts w:hint="eastAsia" w:ascii="仿宋_GB2312" w:hAnsi="Times New Roman" w:eastAsia="仿宋_GB2312" w:cs="Times New Roman"/>
          <w:bCs/>
          <w:color w:val="auto"/>
          <w:kern w:val="2"/>
          <w:sz w:val="32"/>
          <w:szCs w:val="32"/>
          <w:lang w:val="en-US" w:eastAsia="zh-CN" w:bidi="ar-SA"/>
        </w:rPr>
        <w:t>坚持以习近平新时代中国特色社会主义思想为指导，深入贯彻</w:t>
      </w:r>
      <w:r>
        <w:rPr>
          <w:rFonts w:hint="eastAsia" w:ascii="仿宋_GB2312" w:hAnsi="Times New Roman" w:eastAsia="仿宋_GB2312" w:cs="Times New Roman"/>
          <w:bCs/>
          <w:color w:val="auto"/>
          <w:kern w:val="2"/>
          <w:sz w:val="32"/>
          <w:szCs w:val="32"/>
          <w:lang w:val="zh-CN" w:eastAsia="zh-CN" w:bidi="ar-SA"/>
        </w:rPr>
        <w:t>落实习近平总书记</w:t>
      </w:r>
      <w:r>
        <w:rPr>
          <w:rFonts w:hint="eastAsia" w:ascii="仿宋_GB2312" w:hAnsi="Times New Roman" w:eastAsia="仿宋_GB2312" w:cs="Times New Roman"/>
          <w:bCs/>
          <w:color w:val="auto"/>
          <w:kern w:val="2"/>
          <w:sz w:val="32"/>
          <w:szCs w:val="32"/>
          <w:lang w:val="en-US" w:eastAsia="zh-CN" w:bidi="ar-SA"/>
        </w:rPr>
        <w:t>关于妇女儿童和妇联工作的重要论述以及对</w:t>
      </w:r>
      <w:r>
        <w:rPr>
          <w:rFonts w:hint="eastAsia" w:ascii="仿宋_GB2312" w:hAnsi="Times New Roman" w:eastAsia="仿宋_GB2312" w:cs="Times New Roman"/>
          <w:bCs/>
          <w:color w:val="auto"/>
          <w:kern w:val="2"/>
          <w:sz w:val="32"/>
          <w:szCs w:val="32"/>
          <w:lang w:val="zh-CN" w:eastAsia="zh-CN" w:bidi="ar-SA"/>
        </w:rPr>
        <w:t>北京重要讲话精神</w:t>
      </w:r>
      <w:r>
        <w:rPr>
          <w:rFonts w:hint="eastAsia" w:ascii="仿宋_GB2312" w:eastAsia="仿宋_GB2312" w:cs="Times New Roman"/>
          <w:bCs/>
          <w:color w:val="auto"/>
          <w:kern w:val="2"/>
          <w:sz w:val="32"/>
          <w:szCs w:val="32"/>
          <w:lang w:val="zh-CN" w:eastAsia="zh-CN" w:bidi="ar-SA"/>
        </w:rPr>
        <w:t>，</w:t>
      </w:r>
      <w:r>
        <w:rPr>
          <w:rFonts w:hint="eastAsia" w:ascii="仿宋_GB2312" w:hAnsi="Times New Roman" w:eastAsia="仿宋_GB2312" w:cs="Times New Roman"/>
          <w:bCs/>
          <w:color w:val="auto"/>
          <w:kern w:val="2"/>
          <w:sz w:val="32"/>
          <w:szCs w:val="32"/>
          <w:lang w:val="zh-CN" w:eastAsia="zh-CN" w:bidi="ar-SA"/>
        </w:rPr>
        <w:t>落实</w:t>
      </w:r>
      <w:r>
        <w:rPr>
          <w:rFonts w:hint="eastAsia" w:ascii="仿宋_GB2312" w:hAnsi="Times New Roman" w:eastAsia="仿宋_GB2312" w:cs="Times New Roman"/>
          <w:bCs/>
          <w:color w:val="auto"/>
          <w:kern w:val="2"/>
          <w:sz w:val="32"/>
          <w:szCs w:val="32"/>
          <w:lang w:val="en-US" w:eastAsia="zh-CN" w:bidi="ar-SA"/>
        </w:rPr>
        <w:t>党的二十大战略部署</w:t>
      </w:r>
      <w:r>
        <w:rPr>
          <w:rFonts w:hint="eastAsia" w:ascii="仿宋_GB2312" w:eastAsia="仿宋_GB2312" w:cs="Times New Roman"/>
          <w:bCs/>
          <w:color w:val="auto"/>
          <w:kern w:val="2"/>
          <w:sz w:val="32"/>
          <w:szCs w:val="32"/>
          <w:lang w:val="en-US" w:eastAsia="zh-CN" w:bidi="ar-SA"/>
        </w:rPr>
        <w:t>，</w:t>
      </w:r>
      <w:r>
        <w:rPr>
          <w:rFonts w:hint="eastAsia" w:ascii="仿宋_GB2312" w:hAnsi="Times New Roman" w:eastAsia="仿宋_GB2312" w:cs="Times New Roman"/>
          <w:bCs/>
          <w:color w:val="auto"/>
          <w:sz w:val="32"/>
          <w:szCs w:val="32"/>
          <w:lang w:val="en-US" w:eastAsia="zh-CN"/>
        </w:rPr>
        <w:t>深化巾帼建功系列行动，创新推出紧扣中心、服务大局的工作举措和项目，引领妇女为推进中国式现代化作贡献。坚持深化家庭文明建设，</w:t>
      </w:r>
      <w:r>
        <w:rPr>
          <w:rFonts w:hint="eastAsia" w:ascii="仿宋_GB2312" w:eastAsia="仿宋_GB2312" w:cs="Times New Roman"/>
          <w:bCs/>
          <w:color w:val="auto"/>
          <w:sz w:val="32"/>
          <w:szCs w:val="32"/>
          <w:lang w:val="en-US" w:eastAsia="zh-CN"/>
        </w:rPr>
        <w:t>积极为妇女参与经济社会发展创造条件、搭建平台，保障妇女、儿童合法权益，努力让尊重妇女、关爱儿童在全社会蔚然成风。市妇联2023年部门整体绩效目标实现预期产出，有力保障重点工作任务完成。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ascii="仿宋_GB2312" w:hAnsi="楷体" w:eastAsia="仿宋_GB2312"/>
          <w:b/>
          <w:color w:val="auto"/>
          <w:kern w:val="0"/>
          <w:sz w:val="32"/>
          <w:szCs w:val="28"/>
        </w:rPr>
      </w:pPr>
      <w:bookmarkStart w:id="9" w:name="_Toc11788"/>
      <w:r>
        <w:rPr>
          <w:rFonts w:hint="eastAsia" w:ascii="仿宋_GB2312" w:hAnsi="楷体" w:eastAsia="仿宋_GB2312"/>
          <w:b/>
          <w:color w:val="auto"/>
          <w:kern w:val="0"/>
          <w:sz w:val="32"/>
          <w:szCs w:val="28"/>
        </w:rPr>
        <w:t>1.产出数量</w:t>
      </w:r>
      <w:bookmarkEnd w:id="9"/>
    </w:p>
    <w:p>
      <w:pPr>
        <w:ind w:firstLine="640" w:firstLineChars="200"/>
        <w:rPr>
          <w:rFonts w:hint="eastAsia" w:ascii="仿宋_GB2312" w:hAnsi="楷体" w:eastAsia="仿宋_GB2312"/>
          <w:bCs/>
          <w:color w:val="auto"/>
          <w:kern w:val="0"/>
          <w:sz w:val="32"/>
          <w:szCs w:val="28"/>
          <w:lang w:eastAsia="zh-CN"/>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广泛开展“巾帼大学习”“巾帼大宣讲”，接力开展分众化、互动式宣讲1000余场，线上线下覆盖妇女300余万。加强全媒体宣传阐释，</w:t>
      </w:r>
      <w:r>
        <w:rPr>
          <w:rFonts w:hint="eastAsia" w:ascii="仿宋_GB2312" w:hAnsi="楷体" w:eastAsia="仿宋_GB2312"/>
          <w:bCs/>
          <w:color w:val="auto"/>
          <w:kern w:val="0"/>
          <w:sz w:val="32"/>
          <w:szCs w:val="28"/>
        </w:rPr>
        <w:t>推送信息</w:t>
      </w:r>
      <w:r>
        <w:rPr>
          <w:rFonts w:hint="eastAsia" w:ascii="仿宋_GB2312" w:hAnsi="楷体" w:eastAsia="仿宋_GB2312"/>
          <w:bCs/>
          <w:color w:val="auto"/>
          <w:kern w:val="0"/>
          <w:sz w:val="32"/>
          <w:szCs w:val="28"/>
          <w:lang w:val="en-US" w:eastAsia="zh-CN"/>
        </w:rPr>
        <w:t>3000余</w:t>
      </w:r>
      <w:r>
        <w:rPr>
          <w:rFonts w:hint="eastAsia" w:ascii="仿宋_GB2312" w:hAnsi="楷体" w:eastAsia="仿宋_GB2312"/>
          <w:bCs/>
          <w:color w:val="auto"/>
          <w:kern w:val="0"/>
          <w:sz w:val="32"/>
          <w:szCs w:val="28"/>
        </w:rPr>
        <w:t>条，全网浏览量</w:t>
      </w:r>
      <w:r>
        <w:rPr>
          <w:rFonts w:hint="eastAsia" w:ascii="仿宋_GB2312" w:hAnsi="楷体" w:eastAsia="仿宋_GB2312"/>
          <w:bCs/>
          <w:color w:val="auto"/>
          <w:kern w:val="0"/>
          <w:sz w:val="32"/>
          <w:szCs w:val="28"/>
          <w:lang w:val="en-US" w:eastAsia="zh-CN"/>
        </w:rPr>
        <w:t>2.1亿</w:t>
      </w:r>
      <w:r>
        <w:rPr>
          <w:rFonts w:hint="eastAsia" w:ascii="仿宋_GB2312" w:hAnsi="楷体" w:eastAsia="仿宋_GB2312"/>
          <w:bCs/>
          <w:color w:val="auto"/>
          <w:kern w:val="0"/>
          <w:sz w:val="32"/>
          <w:szCs w:val="28"/>
        </w:rPr>
        <w:t>人次</w:t>
      </w:r>
      <w:r>
        <w:rPr>
          <w:rFonts w:hint="eastAsia" w:ascii="仿宋_GB2312" w:hAnsi="楷体" w:eastAsia="仿宋_GB2312"/>
          <w:bCs/>
          <w:color w:val="auto"/>
          <w:kern w:val="0"/>
          <w:sz w:val="32"/>
          <w:szCs w:val="28"/>
          <w:lang w:eastAsia="zh-CN"/>
        </w:rPr>
        <w:t>，推动党的创新理论</w:t>
      </w:r>
      <w:r>
        <w:rPr>
          <w:rFonts w:hint="eastAsia" w:ascii="仿宋_GB2312" w:hAnsi="楷体" w:eastAsia="仿宋_GB2312"/>
          <w:bCs/>
          <w:color w:val="auto"/>
          <w:kern w:val="0"/>
          <w:sz w:val="32"/>
          <w:szCs w:val="28"/>
          <w:lang w:val="en-US" w:eastAsia="zh-CN"/>
        </w:rPr>
        <w:t>深入妇女人心、走进千家万户。</w:t>
      </w:r>
    </w:p>
    <w:p>
      <w:pPr>
        <w:ind w:firstLine="640" w:firstLineChars="200"/>
        <w:rPr>
          <w:rFonts w:hint="eastAsia" w:ascii="仿宋_GB2312" w:hAnsi="楷体" w:eastAsia="仿宋_GB2312"/>
          <w:bCs/>
          <w:color w:val="auto"/>
          <w:kern w:val="0"/>
          <w:sz w:val="32"/>
          <w:szCs w:val="28"/>
          <w:lang w:eastAsia="zh-CN"/>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2</w:t>
      </w:r>
      <w:r>
        <w:rPr>
          <w:rFonts w:hint="eastAsia" w:ascii="仿宋_GB2312" w:hAnsi="楷体" w:eastAsia="仿宋_GB2312"/>
          <w:bCs/>
          <w:color w:val="auto"/>
          <w:kern w:val="0"/>
          <w:sz w:val="32"/>
          <w:szCs w:val="28"/>
          <w:lang w:eastAsia="zh-CN"/>
        </w:rPr>
        <w:t>）深化家庭家教家风建设，全市常态长效寻找各级各类“最美家庭”1.2万余户，最美家庭覆盖面和影响力进一步提升。</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（3）开展困难妇女专项司法救助，建立反家暴联动会商机制，受理解决妇女信访诉求1.8万件。</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（4）有效推动、多部门协同，合力处置敏感舆情14件，坚决维护妇女领域政治安全。</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（5）聚焦“一老一小”推动文明实践巾帼志愿“阳光站”建设，深入实施“春蕾计划”，共募集资金2000万元，真心真情救助帮扶困难妇女儿童，把党和政府的关怀和温暖送到妇女儿童身边。</w:t>
      </w:r>
    </w:p>
    <w:p>
      <w:pPr>
        <w:ind w:firstLine="640" w:firstLineChars="200"/>
        <w:rPr>
          <w:rFonts w:hint="eastAsia"/>
          <w:color w:val="auto"/>
          <w:lang w:val="en-US" w:eastAsia="zh-CN"/>
        </w:rPr>
      </w:pPr>
      <w:r>
        <w:rPr>
          <w:rFonts w:hint="eastAsia" w:ascii="仿宋_GB2312" w:hAnsi="楷体" w:eastAsia="仿宋_GB2312" w:cs="Times New Roman"/>
          <w:b w:val="0"/>
          <w:bCs/>
          <w:color w:val="auto"/>
          <w:kern w:val="0"/>
          <w:sz w:val="32"/>
          <w:szCs w:val="28"/>
          <w:lang w:val="en-US" w:eastAsia="zh-CN" w:bidi="ar-SA"/>
        </w:rPr>
        <w:t>（6）在北京市行业协会商会联合党委成立妇工委16个、快递企业妇工委8个，面向新业态新就业群体女性建立“驿港湾”服务阵地800个，实现乡镇街道党群服务中心全覆盖。</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0" w:name="_Toc8558"/>
      <w:r>
        <w:rPr>
          <w:rFonts w:hint="eastAsia" w:ascii="仿宋_GB2312" w:hAnsi="楷体" w:eastAsia="仿宋_GB2312"/>
          <w:b/>
          <w:color w:val="auto"/>
          <w:kern w:val="0"/>
          <w:sz w:val="32"/>
          <w:szCs w:val="28"/>
        </w:rPr>
        <w:t>2.产出质量</w:t>
      </w:r>
      <w:bookmarkEnd w:id="10"/>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（1）成功举办中关村论坛科技女性创新论坛及延伸系列活动，在全国率先将女科技工作者引领服务联系纳入常态化制度化。</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（2）推进“114N”家庭教育指导服务体系建设，市区家庭教育指导中心实现全覆盖。</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（3）深化妇女统战联谊和对外交流交往，在联合国人权理事会会议发声，讲好中国妇女故事。</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仿宋_GB2312" w:hAnsi="楷体" w:eastAsia="仿宋_GB2312" w:cs="Times New Roman"/>
          <w:b w:val="0"/>
          <w:bCs/>
          <w:color w:val="auto"/>
          <w:kern w:val="0"/>
          <w:sz w:val="32"/>
          <w:szCs w:val="28"/>
          <w:lang w:val="en-US" w:eastAsia="zh-CN" w:bidi="ar-SA"/>
        </w:rPr>
        <w:t>（4）做深做实调查研究，市区两级聚焦推进生育支持政策建立健全、妇女创业就业、家庭教育指导、维护妇女权益、儿童友好城市建设、深化妇联改革等重难点任务开展调研，形成一批调研成果，努力将妇女群众“问题清单”变为“幸福清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1" w:name="_Toc21330"/>
      <w:r>
        <w:rPr>
          <w:rFonts w:hint="eastAsia" w:ascii="仿宋_GB2312" w:hAnsi="楷体" w:eastAsia="仿宋_GB2312"/>
          <w:b/>
          <w:color w:val="auto"/>
          <w:kern w:val="0"/>
          <w:sz w:val="32"/>
          <w:szCs w:val="28"/>
        </w:rPr>
        <w:t>3.产出进度</w:t>
      </w:r>
      <w:bookmarkEnd w:id="11"/>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市妇联工作贯穿全年，按照年初预算批复及年中预算调整情况，202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年完成了各项工作任务。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2" w:name="_Toc22135"/>
      <w:r>
        <w:rPr>
          <w:rFonts w:hint="eastAsia" w:ascii="仿宋_GB2312" w:hAnsi="楷体" w:eastAsia="仿宋_GB2312"/>
          <w:b/>
          <w:color w:val="auto"/>
          <w:kern w:val="0"/>
          <w:sz w:val="32"/>
          <w:szCs w:val="28"/>
        </w:rPr>
        <w:t>4.产出成本</w:t>
      </w:r>
      <w:bookmarkEnd w:id="12"/>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年全年预算数9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132.522386万元，</w:t>
      </w:r>
      <w:r>
        <w:rPr>
          <w:rFonts w:hint="eastAsia" w:ascii="仿宋_GB2312" w:hAnsi="宋体" w:eastAsia="仿宋_GB2312" w:cs="宋体"/>
          <w:b w:val="0"/>
          <w:bCs w:val="0"/>
          <w:color w:val="auto"/>
          <w:kern w:val="0"/>
          <w:sz w:val="32"/>
          <w:szCs w:val="32"/>
          <w:lang w:val="en-US" w:eastAsia="zh-CN"/>
        </w:rPr>
        <w:t>资金总体</w:t>
      </w:r>
      <w:r>
        <w:rPr>
          <w:rFonts w:hint="eastAsia" w:ascii="仿宋_GB2312" w:hAnsi="楷体" w:eastAsia="仿宋_GB2312"/>
          <w:bCs/>
          <w:color w:val="auto"/>
          <w:kern w:val="0"/>
          <w:sz w:val="32"/>
          <w:szCs w:val="28"/>
        </w:rPr>
        <w:t>支出</w:t>
      </w: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798.660669</w:t>
      </w:r>
      <w:r>
        <w:rPr>
          <w:rFonts w:hint="eastAsia" w:ascii="仿宋_GB2312" w:hAnsi="楷体" w:eastAsia="仿宋_GB2312"/>
          <w:bCs/>
          <w:color w:val="auto"/>
          <w:kern w:val="0"/>
          <w:sz w:val="32"/>
          <w:szCs w:val="28"/>
        </w:rPr>
        <w:t>万元，其中，基本支出5</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996.229987万元，项目支出2</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802.430682万元，预算执行率9</w:t>
      </w:r>
      <w:r>
        <w:rPr>
          <w:rFonts w:hint="eastAsia" w:ascii="仿宋_GB2312" w:hAnsi="楷体" w:eastAsia="仿宋_GB2312"/>
          <w:bCs/>
          <w:color w:val="auto"/>
          <w:kern w:val="0"/>
          <w:sz w:val="32"/>
          <w:szCs w:val="28"/>
          <w:lang w:val="en-US" w:eastAsia="zh-CN"/>
        </w:rPr>
        <w:t>6</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34</w:t>
      </w:r>
      <w:r>
        <w:rPr>
          <w:rFonts w:hint="eastAsia" w:ascii="仿宋_GB2312" w:hAnsi="楷体" w:eastAsia="仿宋_GB2312"/>
          <w:bCs/>
          <w:color w:val="auto"/>
          <w:kern w:val="0"/>
          <w:sz w:val="32"/>
          <w:szCs w:val="28"/>
        </w:rPr>
        <w:t>%。部门整体支出控制在预算批复范围内。</w:t>
      </w:r>
    </w:p>
    <w:p>
      <w:pPr>
        <w:spacing w:line="600" w:lineRule="exact"/>
        <w:ind w:firstLine="640" w:firstLineChars="200"/>
        <w:outlineLvl w:val="1"/>
        <w:rPr>
          <w:rFonts w:ascii="楷体" w:hAnsi="楷体" w:eastAsia="楷体"/>
          <w:color w:val="auto"/>
          <w:sz w:val="32"/>
          <w:szCs w:val="32"/>
        </w:rPr>
      </w:pPr>
      <w:bookmarkStart w:id="13" w:name="_Toc3016"/>
      <w:r>
        <w:rPr>
          <w:rFonts w:hint="eastAsia" w:ascii="楷体" w:hAnsi="楷体" w:eastAsia="楷体"/>
          <w:color w:val="auto"/>
          <w:sz w:val="32"/>
          <w:szCs w:val="32"/>
        </w:rPr>
        <w:t>（二）效果</w:t>
      </w:r>
      <w:r>
        <w:rPr>
          <w:rFonts w:ascii="楷体" w:hAnsi="楷体" w:eastAsia="楷体"/>
          <w:color w:val="auto"/>
          <w:sz w:val="32"/>
          <w:szCs w:val="32"/>
        </w:rPr>
        <w:t>实现情况分析</w:t>
      </w:r>
      <w:bookmarkEnd w:id="1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4" w:name="_Toc21514"/>
      <w:r>
        <w:rPr>
          <w:rFonts w:hint="eastAsia" w:ascii="仿宋_GB2312" w:hAnsi="楷体" w:eastAsia="仿宋_GB2312"/>
          <w:b/>
          <w:color w:val="auto"/>
          <w:kern w:val="0"/>
          <w:sz w:val="32"/>
          <w:szCs w:val="28"/>
        </w:rPr>
        <w:t>1.社会效益</w:t>
      </w:r>
      <w:bookmarkEnd w:id="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b w:val="0"/>
          <w:bCs/>
          <w:kern w:val="2"/>
          <w:sz w:val="32"/>
          <w:szCs w:val="32"/>
          <w:lang w:val="zh-CN" w:eastAsia="zh-CN" w:bidi="ar-SA"/>
        </w:rPr>
      </w:pPr>
      <w:r>
        <w:rPr>
          <w:rFonts w:hint="eastAsia" w:ascii="仿宋_GB2312" w:hAnsi="仿宋_GB2312" w:eastAsia="仿宋_GB2312" w:cs="仿宋_GB2312"/>
          <w:bCs/>
          <w:sz w:val="32"/>
          <w:szCs w:val="32"/>
          <w:lang w:val="en-US" w:eastAsia="zh-CN"/>
        </w:rPr>
        <w:t>2023年度，市妇联</w:t>
      </w:r>
      <w:r>
        <w:rPr>
          <w:rFonts w:hint="eastAsia" w:ascii="仿宋_GB2312" w:hAnsi="Times New Roman" w:eastAsia="仿宋_GB2312" w:cs="Times New Roman"/>
          <w:bCs/>
          <w:kern w:val="2"/>
          <w:sz w:val="32"/>
          <w:szCs w:val="32"/>
          <w:lang w:val="en-US" w:eastAsia="zh-CN" w:bidi="ar-SA"/>
        </w:rPr>
        <w:t>坚持以习近平新时代中国特色社会主义思想为指导，深入贯彻</w:t>
      </w:r>
      <w:r>
        <w:rPr>
          <w:rFonts w:hint="eastAsia" w:ascii="仿宋_GB2312" w:hAnsi="Times New Roman" w:eastAsia="仿宋_GB2312" w:cs="Times New Roman"/>
          <w:bCs/>
          <w:kern w:val="2"/>
          <w:sz w:val="32"/>
          <w:szCs w:val="32"/>
          <w:lang w:val="zh-CN" w:eastAsia="zh-CN" w:bidi="ar-SA"/>
        </w:rPr>
        <w:t>落实习近平总书记</w:t>
      </w:r>
      <w:r>
        <w:rPr>
          <w:rFonts w:hint="eastAsia" w:ascii="仿宋_GB2312" w:hAnsi="Times New Roman" w:eastAsia="仿宋_GB2312" w:cs="Times New Roman"/>
          <w:bCs/>
          <w:kern w:val="2"/>
          <w:sz w:val="32"/>
          <w:szCs w:val="32"/>
          <w:lang w:val="en-US" w:eastAsia="zh-CN" w:bidi="ar-SA"/>
        </w:rPr>
        <w:t>关于妇女儿童和妇联工作的重要论述以及对</w:t>
      </w:r>
      <w:r>
        <w:rPr>
          <w:rFonts w:hint="eastAsia" w:ascii="仿宋_GB2312" w:hAnsi="Times New Roman" w:eastAsia="仿宋_GB2312" w:cs="Times New Roman"/>
          <w:bCs/>
          <w:kern w:val="2"/>
          <w:sz w:val="32"/>
          <w:szCs w:val="32"/>
          <w:lang w:val="zh-CN" w:eastAsia="zh-CN" w:bidi="ar-SA"/>
        </w:rPr>
        <w:t>北京重要讲话精神，</w:t>
      </w:r>
      <w:r>
        <w:rPr>
          <w:rFonts w:hint="eastAsia" w:ascii="仿宋_GB2312" w:hAnsi="Times New Roman" w:eastAsia="仿宋_GB2312" w:cs="Times New Roman"/>
          <w:bCs/>
          <w:kern w:val="2"/>
          <w:sz w:val="32"/>
          <w:szCs w:val="32"/>
          <w:lang w:val="en-US" w:eastAsia="zh-CN" w:bidi="ar-SA"/>
        </w:rPr>
        <w:t>坚定拥护“两个确立”、坚决做到“两个维护”，</w:t>
      </w:r>
      <w:r>
        <w:rPr>
          <w:rFonts w:hint="eastAsia" w:ascii="仿宋_GB2312" w:hAnsi="Times New Roman" w:eastAsia="仿宋_GB2312" w:cs="Times New Roman"/>
          <w:bCs/>
          <w:kern w:val="2"/>
          <w:sz w:val="32"/>
          <w:szCs w:val="32"/>
          <w:lang w:val="zh-CN" w:eastAsia="zh-CN" w:bidi="ar-SA"/>
        </w:rPr>
        <w:t>落实</w:t>
      </w:r>
      <w:r>
        <w:rPr>
          <w:rFonts w:hint="eastAsia" w:ascii="仿宋_GB2312" w:hAnsi="Times New Roman" w:eastAsia="仿宋_GB2312" w:cs="Times New Roman"/>
          <w:bCs/>
          <w:kern w:val="2"/>
          <w:sz w:val="32"/>
          <w:szCs w:val="32"/>
          <w:lang w:val="en-US" w:eastAsia="zh-CN" w:bidi="ar-SA"/>
        </w:rPr>
        <w:t>党的二十大战略部署，主动服务和融入新发展格局</w:t>
      </w:r>
      <w:r>
        <w:rPr>
          <w:rFonts w:hint="eastAsia" w:ascii="仿宋_GB2312" w:hAnsi="Times New Roman" w:eastAsia="仿宋_GB2312" w:cs="Times New Roman"/>
          <w:bCs/>
          <w:kern w:val="2"/>
          <w:sz w:val="32"/>
          <w:szCs w:val="32"/>
          <w:lang w:val="zh-CN" w:eastAsia="zh-CN" w:bidi="ar-SA"/>
        </w:rPr>
        <w:t>，</w:t>
      </w:r>
      <w:r>
        <w:rPr>
          <w:rFonts w:hint="eastAsia" w:ascii="仿宋_GB2312" w:hAnsi="Times New Roman" w:eastAsia="仿宋_GB2312" w:cs="Times New Roman"/>
          <w:bCs/>
          <w:kern w:val="2"/>
          <w:sz w:val="32"/>
          <w:szCs w:val="32"/>
          <w:lang w:val="en-US" w:eastAsia="zh-CN" w:bidi="ar-SA"/>
        </w:rPr>
        <w:t>强化引领服务联系职能，有效发挥桥梁纽带作用，团结引领广大妇女坚定不移听党话</w:t>
      </w:r>
      <w:r>
        <w:rPr>
          <w:rFonts w:hint="eastAsia" w:ascii="仿宋_GB2312" w:hAnsi="Times New Roman" w:eastAsia="仿宋_GB2312" w:cs="Times New Roman"/>
          <w:b w:val="0"/>
          <w:bCs/>
          <w:kern w:val="2"/>
          <w:sz w:val="32"/>
          <w:szCs w:val="32"/>
          <w:lang w:val="en-US" w:eastAsia="zh-CN" w:bidi="ar-SA"/>
        </w:rPr>
        <w:t>、跟党走，不断</w:t>
      </w:r>
      <w:r>
        <w:rPr>
          <w:rFonts w:hint="eastAsia" w:ascii="仿宋_GB2312" w:hAnsi="Times New Roman" w:eastAsia="仿宋_GB2312" w:cs="Times New Roman"/>
          <w:b w:val="0"/>
          <w:bCs/>
          <w:kern w:val="2"/>
          <w:sz w:val="32"/>
          <w:szCs w:val="32"/>
          <w:lang w:val="zh-CN" w:eastAsia="zh-CN" w:bidi="ar-SA"/>
        </w:rPr>
        <w:t>开创首都妇女工作新局面。</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一是</w:t>
      </w:r>
      <w:r>
        <w:rPr>
          <w:rFonts w:hint="eastAsia" w:ascii="仿宋_GB2312" w:hAnsi="仿宋_GB2312" w:eastAsia="仿宋_GB2312" w:cs="仿宋_GB2312"/>
          <w:b w:val="0"/>
          <w:bCs/>
          <w:sz w:val="32"/>
          <w:szCs w:val="32"/>
          <w:lang w:val="zh-CN" w:eastAsia="zh-CN"/>
        </w:rPr>
        <w:t>把政治引领放在首位，学思践悟新思想焕发新气象。坚</w:t>
      </w:r>
      <w:r>
        <w:rPr>
          <w:rFonts w:hint="eastAsia" w:ascii="仿宋_GB2312" w:hAnsi="Times New Roman" w:eastAsia="仿宋_GB2312" w:cs="Times New Roman"/>
          <w:b w:val="0"/>
          <w:bCs/>
          <w:sz w:val="32"/>
          <w:szCs w:val="32"/>
          <w:lang w:val="zh-CN" w:eastAsia="zh-CN"/>
        </w:rPr>
        <w:t>持用党的创新理论统一思想和行动，把思想政治引领贯穿妇联各</w:t>
      </w:r>
      <w:r>
        <w:rPr>
          <w:rFonts w:hint="eastAsia" w:ascii="仿宋_GB2312" w:hAnsi="仿宋_GB2312" w:eastAsia="仿宋_GB2312" w:cs="仿宋_GB2312"/>
          <w:b w:val="0"/>
          <w:bCs/>
          <w:sz w:val="32"/>
          <w:szCs w:val="32"/>
          <w:lang w:val="zh-CN" w:eastAsia="zh-CN"/>
        </w:rPr>
        <w:t>项活动和工作中，</w:t>
      </w:r>
      <w:r>
        <w:rPr>
          <w:rFonts w:hint="eastAsia" w:ascii="仿宋_GB2312" w:hAnsi="仿宋_GB2312" w:eastAsia="仿宋_GB2312" w:cs="仿宋_GB2312"/>
          <w:b w:val="0"/>
          <w:bCs/>
          <w:sz w:val="32"/>
          <w:szCs w:val="32"/>
          <w:lang w:val="en-US" w:eastAsia="zh-CN"/>
        </w:rPr>
        <w:t>团结凝聚首都妇女坚定不移听党话、跟党走。</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b w:val="0"/>
          <w:bCs/>
          <w:sz w:val="32"/>
          <w:szCs w:val="32"/>
          <w:lang w:val="zh-CN" w:eastAsia="zh-CN"/>
        </w:rPr>
        <w:t>把服务大局作为重点，巾帼建功立业展现新作为。</w:t>
      </w:r>
      <w:r>
        <w:rPr>
          <w:rFonts w:hint="eastAsia" w:ascii="仿宋_GB2312" w:hAnsi="仿宋_GB2312" w:eastAsia="仿宋_GB2312" w:cs="仿宋_GB2312"/>
          <w:b w:val="0"/>
          <w:bCs/>
          <w:sz w:val="32"/>
          <w:szCs w:val="32"/>
          <w:lang w:val="en-US" w:eastAsia="zh-CN"/>
        </w:rPr>
        <w:t>深化巾帼建功系列行动，创新推出紧扣中心、服务大局的工作举措和项目，引领妇女为推进中国式现代化作贡献。</w:t>
      </w:r>
    </w:p>
    <w:p>
      <w:pPr>
        <w:ind w:firstLine="640" w:firstLineChars="200"/>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en-US" w:eastAsia="zh-CN"/>
        </w:rPr>
        <w:t>三是</w:t>
      </w:r>
      <w:r>
        <w:rPr>
          <w:rFonts w:hint="eastAsia" w:ascii="仿宋_GB2312" w:hAnsi="仿宋_GB2312" w:eastAsia="仿宋_GB2312" w:cs="仿宋_GB2312"/>
          <w:b w:val="0"/>
          <w:bCs/>
          <w:sz w:val="32"/>
          <w:szCs w:val="32"/>
          <w:lang w:val="zh-CN" w:eastAsia="zh-CN"/>
        </w:rPr>
        <w:t>把守正创新作为动力，家庭家教家风建设呈现新风貌。坚持把推进家庭工作作为一项长期任务抓实抓好，持续打造最美品牌，以小家庭和谐共建大社会和谐。</w:t>
      </w:r>
    </w:p>
    <w:p>
      <w:pPr>
        <w:ind w:firstLine="640" w:firstLineChars="200"/>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en-US" w:eastAsia="zh-CN"/>
        </w:rPr>
        <w:t>四是</w:t>
      </w:r>
      <w:r>
        <w:rPr>
          <w:rFonts w:hint="eastAsia" w:ascii="仿宋_GB2312" w:hAnsi="仿宋_GB2312" w:eastAsia="仿宋_GB2312" w:cs="仿宋_GB2312"/>
          <w:b w:val="0"/>
          <w:bCs/>
          <w:sz w:val="32"/>
          <w:szCs w:val="32"/>
          <w:lang w:val="zh-CN" w:eastAsia="zh-CN"/>
        </w:rPr>
        <w:t>把保障权益作为关键，维权关爱服务取得新实效。自觉扛起维护妇女权益的职责，把维权工作做在平常、抓在经常、落到基层。</w:t>
      </w:r>
    </w:p>
    <w:p>
      <w:pPr>
        <w:ind w:firstLine="640" w:firstLineChars="200"/>
        <w:rPr>
          <w:color w:val="auto"/>
        </w:rPr>
      </w:pPr>
      <w:r>
        <w:rPr>
          <w:rFonts w:hint="eastAsia" w:ascii="仿宋_GB2312" w:hAnsi="仿宋_GB2312" w:eastAsia="仿宋_GB2312" w:cs="仿宋_GB2312"/>
          <w:b w:val="0"/>
          <w:bCs/>
          <w:sz w:val="32"/>
          <w:szCs w:val="32"/>
          <w:lang w:val="en-US" w:eastAsia="zh-CN"/>
        </w:rPr>
        <w:t>五是</w:t>
      </w:r>
      <w:r>
        <w:rPr>
          <w:rFonts w:hint="eastAsia" w:ascii="仿宋_GB2312" w:hAnsi="仿宋_GB2312" w:eastAsia="仿宋_GB2312" w:cs="仿宋_GB2312"/>
          <w:b w:val="0"/>
          <w:bCs/>
          <w:sz w:val="32"/>
          <w:szCs w:val="32"/>
          <w:lang w:val="zh-CN" w:eastAsia="zh-CN"/>
        </w:rPr>
        <w:t>把自我革命作为永恒课题，妇联改革和建设实现新拓展。坚持不懈以改革创新精神</w:t>
      </w:r>
      <w:r>
        <w:rPr>
          <w:rFonts w:hint="eastAsia" w:ascii="仿宋_GB2312" w:hAnsi="仿宋_GB2312" w:eastAsia="仿宋_GB2312" w:cs="仿宋_GB2312"/>
          <w:bCs/>
          <w:sz w:val="32"/>
          <w:szCs w:val="32"/>
          <w:lang w:val="zh-CN" w:eastAsia="zh-CN"/>
        </w:rPr>
        <w:t>加强和改进自身建设，切实有</w:t>
      </w:r>
      <w:r>
        <w:rPr>
          <w:rFonts w:hint="eastAsia" w:ascii="仿宋_GB2312" w:hAnsi="Times New Roman" w:cs="Times New Roman"/>
          <w:bCs/>
          <w:sz w:val="32"/>
          <w:szCs w:val="32"/>
          <w:lang w:val="zh-CN" w:eastAsia="zh-CN"/>
        </w:rPr>
        <w:t>效</w:t>
      </w:r>
      <w:r>
        <w:rPr>
          <w:rFonts w:hint="eastAsia" w:ascii="仿宋_GB2312" w:hAnsi="Times New Roman" w:eastAsia="仿宋_GB2312" w:cs="Times New Roman"/>
          <w:bCs/>
          <w:sz w:val="32"/>
          <w:szCs w:val="32"/>
          <w:lang w:val="zh-CN" w:eastAsia="zh-CN"/>
        </w:rPr>
        <w:t>发挥桥梁纽带作用，当好党的得力助手。</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5" w:name="_Toc5460"/>
      <w:r>
        <w:rPr>
          <w:rFonts w:hint="eastAsia" w:ascii="仿宋_GB2312" w:hAnsi="楷体" w:eastAsia="仿宋_GB2312"/>
          <w:b/>
          <w:color w:val="auto"/>
          <w:kern w:val="0"/>
          <w:sz w:val="32"/>
          <w:szCs w:val="28"/>
        </w:rPr>
        <w:t>2.可持续性影响</w:t>
      </w:r>
      <w:bookmarkEnd w:id="15"/>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1）创新开展对口帮扶协作，首次组织女科学家走北疆，全方位带动受援地妇女发展。进一步增进了与对口支援地区的交流交往交融，助力受援帮扶地区全面推进乡村振兴和巩固拓展脱贫攻坚成果，积极引导广大妇女勇于创业、敢于创新、踏实就业，引领更多的妇女实现就地创业、就近创业、灵活创业，为推动当地妇女发展事业提振信心，为推动当地经济社会全面发展贡献巾帼力量。</w:t>
      </w:r>
    </w:p>
    <w:p>
      <w:pPr>
        <w:ind w:firstLine="640" w:firstLineChars="200"/>
        <w:rPr>
          <w:rFonts w:hint="eastAsia" w:ascii="仿宋_GB2312" w:hAnsi="楷体" w:eastAsia="仿宋_GB2312"/>
          <w:bCs/>
          <w:color w:val="auto"/>
          <w:kern w:val="0"/>
          <w:sz w:val="32"/>
          <w:szCs w:val="28"/>
          <w:lang w:eastAsia="zh-CN"/>
        </w:rPr>
      </w:pPr>
      <w:r>
        <w:rPr>
          <w:rFonts w:hint="eastAsia" w:ascii="仿宋_GB2312" w:hAnsi="楷体" w:eastAsia="仿宋_GB2312"/>
          <w:bCs/>
          <w:color w:val="auto"/>
          <w:kern w:val="0"/>
          <w:sz w:val="32"/>
          <w:szCs w:val="28"/>
        </w:rPr>
        <w:t>（2）</w:t>
      </w:r>
      <w:r>
        <w:rPr>
          <w:rFonts w:hint="eastAsia" w:ascii="仿宋_GB2312" w:hAnsi="楷体" w:eastAsia="仿宋_GB2312"/>
          <w:bCs/>
          <w:color w:val="auto"/>
          <w:kern w:val="0"/>
          <w:sz w:val="32"/>
          <w:szCs w:val="28"/>
          <w:lang w:val="en-US" w:eastAsia="zh-CN"/>
        </w:rPr>
        <w:t>举办</w:t>
      </w:r>
      <w:r>
        <w:rPr>
          <w:rFonts w:hint="eastAsia" w:ascii="仿宋_GB2312" w:hAnsi="楷体" w:eastAsia="仿宋_GB2312"/>
          <w:bCs/>
          <w:color w:val="auto"/>
          <w:kern w:val="0"/>
          <w:sz w:val="32"/>
          <w:szCs w:val="28"/>
        </w:rPr>
        <w:t>“巾帼奋进新时代，志愿引领新风尚”--首都巾帼志愿服务展示活动，</w:t>
      </w:r>
      <w:r>
        <w:rPr>
          <w:rFonts w:hint="eastAsia" w:ascii="仿宋_GB2312" w:hAnsi="楷体" w:eastAsia="仿宋_GB2312" w:cs="Times New Roman"/>
          <w:b w:val="0"/>
          <w:bCs/>
          <w:color w:val="auto"/>
          <w:kern w:val="0"/>
          <w:sz w:val="32"/>
          <w:szCs w:val="28"/>
          <w:lang w:val="en-US" w:eastAsia="zh-CN" w:bidi="ar-SA"/>
        </w:rPr>
        <w:t>展现首都巾帼志愿者和志愿家庭风采，引导广大妇女儿童和家庭投入到志愿服务工作当中，</w:t>
      </w:r>
      <w:r>
        <w:rPr>
          <w:rFonts w:hint="eastAsia" w:ascii="仿宋_GB2312" w:hAnsi="楷体" w:eastAsia="仿宋_GB2312"/>
          <w:bCs/>
          <w:color w:val="auto"/>
          <w:kern w:val="0"/>
          <w:sz w:val="32"/>
          <w:szCs w:val="28"/>
        </w:rPr>
        <w:t>进一步弘扬了“奉献 友爱 互助 进步”的志愿精神，推动巾帼志愿服务品牌建设，扩大巾帼志愿服务的影响力，</w:t>
      </w:r>
      <w:r>
        <w:rPr>
          <w:rFonts w:hint="eastAsia" w:ascii="仿宋_GB2312" w:hAnsi="楷体" w:eastAsia="仿宋_GB2312" w:cs="Times New Roman"/>
          <w:b w:val="0"/>
          <w:bCs/>
          <w:color w:val="auto"/>
          <w:kern w:val="0"/>
          <w:sz w:val="32"/>
          <w:szCs w:val="28"/>
          <w:lang w:val="en-US" w:eastAsia="zh-CN" w:bidi="ar-SA"/>
        </w:rPr>
        <w:t>促进社会文明进步，</w:t>
      </w:r>
      <w:r>
        <w:rPr>
          <w:rFonts w:hint="eastAsia" w:ascii="仿宋_GB2312" w:hAnsi="楷体" w:eastAsia="仿宋_GB2312"/>
          <w:bCs/>
          <w:color w:val="auto"/>
          <w:kern w:val="0"/>
          <w:sz w:val="32"/>
          <w:szCs w:val="28"/>
        </w:rPr>
        <w:t>推动了新时代巾帼志愿服务工作高质量发展</w:t>
      </w:r>
      <w:r>
        <w:rPr>
          <w:rFonts w:hint="eastAsia" w:ascii="仿宋_GB2312" w:hAnsi="楷体" w:eastAsia="仿宋_GB2312"/>
          <w:bCs/>
          <w:color w:val="auto"/>
          <w:kern w:val="0"/>
          <w:sz w:val="32"/>
          <w:szCs w:val="28"/>
          <w:lang w:eastAsia="zh-CN"/>
        </w:rPr>
        <w:t>。</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w:t>
      </w:r>
      <w:r>
        <w:rPr>
          <w:rFonts w:hint="eastAsia" w:ascii="仿宋_GB2312" w:hAnsi="楷体" w:eastAsia="仿宋_GB2312" w:cs="Times New Roman"/>
          <w:b w:val="0"/>
          <w:bCs/>
          <w:color w:val="auto"/>
          <w:kern w:val="0"/>
          <w:sz w:val="32"/>
          <w:szCs w:val="28"/>
          <w:lang w:val="en-US" w:eastAsia="zh-CN" w:bidi="ar-SA"/>
        </w:rPr>
        <w:t>积极投入防汛救灾和恢复重建工作，筹措百余万元资金及物资帮扶受困妇女儿童，开展灾后心理援助志愿服务行动，市区联动关爱慰问烈士家属，组建爱心妈妈团陪伴烈士子女健康成长，为抢险救灾、重建美好家园持续贡献“半边天”力量。</w:t>
      </w:r>
    </w:p>
    <w:p>
      <w:pPr>
        <w:ind w:firstLine="640" w:firstLineChars="200"/>
        <w:rPr>
          <w:rFonts w:hint="eastAsia" w:ascii="仿宋_GB2312" w:hAnsi="楷体" w:eastAsia="仿宋_GB2312"/>
          <w:bCs/>
          <w:color w:val="auto"/>
          <w:kern w:val="0"/>
          <w:sz w:val="32"/>
          <w:szCs w:val="28"/>
          <w:lang w:eastAsia="zh-CN"/>
        </w:rPr>
      </w:pPr>
      <w:r>
        <w:rPr>
          <w:rFonts w:hint="eastAsia" w:ascii="仿宋_GB2312" w:hAnsi="楷体" w:eastAsia="仿宋_GB2312" w:cs="Times New Roman"/>
          <w:b w:val="0"/>
          <w:bCs/>
          <w:color w:val="auto"/>
          <w:kern w:val="0"/>
          <w:sz w:val="32"/>
          <w:szCs w:val="28"/>
          <w:lang w:val="en-US" w:eastAsia="zh-CN" w:bidi="ar-SA"/>
        </w:rPr>
        <w:t>（4）创新推进儿童友好城市建设，上下联动共同打造“我和我的城市”品牌，“童心筑梦 友好北京”等宣传语扮亮奥林匹克塔、京广中心、运河商务区等标志性建筑，以城市之光点亮儿童美好未来。</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16" w:name="_Toc19251"/>
      <w:r>
        <w:rPr>
          <w:rFonts w:hint="eastAsia" w:ascii="仿宋_GB2312" w:hAnsi="楷体" w:eastAsia="仿宋_GB2312"/>
          <w:b/>
          <w:color w:val="auto"/>
          <w:kern w:val="0"/>
          <w:sz w:val="32"/>
          <w:szCs w:val="28"/>
        </w:rPr>
        <w:t>3.服务对象满意度</w:t>
      </w:r>
      <w:bookmarkEnd w:id="16"/>
    </w:p>
    <w:p>
      <w:pPr>
        <w:ind w:firstLine="640" w:firstLineChars="200"/>
        <w:rPr>
          <w:rFonts w:hint="eastAsia"/>
          <w:color w:val="auto"/>
          <w:lang w:val="en-US" w:eastAsia="zh-CN"/>
        </w:rPr>
      </w:pPr>
      <w:r>
        <w:rPr>
          <w:rFonts w:hint="eastAsia" w:ascii="仿宋_GB2312" w:hAnsi="Times New Roman" w:eastAsia="仿宋_GB2312" w:cs="Times New Roman"/>
          <w:bCs/>
          <w:sz w:val="32"/>
          <w:szCs w:val="32"/>
          <w:lang w:val="en-US" w:eastAsia="zh-CN"/>
        </w:rPr>
        <w:t>市妇联积极宣传习近平总书记提出的关于促进男女平等和妇女儿童全面发展的中国主张，在联合国人权理事会会议发声，在国际舞台讲好中国妇女故事。</w:t>
      </w:r>
      <w:r>
        <w:rPr>
          <w:rFonts w:hint="eastAsia" w:ascii="仿宋_GB2312" w:hAnsi="仿宋_GB2312" w:eastAsia="仿宋_GB2312" w:cs="仿宋_GB2312"/>
          <w:kern w:val="0"/>
          <w:sz w:val="32"/>
          <w:szCs w:val="32"/>
        </w:rPr>
        <w:t>面向基层妇女群众开展“贯彻妇女十三大 跟党奋进新征程”短视频接力活动，展示各行各业女性牢记嘱托、跟党奋进，争做建设者倡导者奋斗者的时代风采和贯彻落实中国妇女十三大精神的巾帼风貌。</w:t>
      </w:r>
      <w:r>
        <w:rPr>
          <w:rFonts w:hint="eastAsia" w:ascii="仿宋_GB2312" w:hAnsi="楷体" w:eastAsia="仿宋_GB2312" w:cs="Times New Roman"/>
          <w:b w:val="0"/>
          <w:bCs/>
          <w:color w:val="auto"/>
          <w:kern w:val="0"/>
          <w:sz w:val="32"/>
          <w:szCs w:val="28"/>
          <w:highlight w:val="none"/>
          <w:lang w:val="en-US" w:eastAsia="zh-CN" w:bidi="ar-SA"/>
        </w:rPr>
        <w:t>北京代表团接力宣讲获评最佳组织奖、小组优胜奖、最佳推文奖多个奖项，受到全国妇联通报表扬。</w:t>
      </w:r>
    </w:p>
    <w:p>
      <w:pPr>
        <w:spacing w:line="600" w:lineRule="exact"/>
        <w:ind w:firstLine="640" w:firstLineChars="200"/>
        <w:outlineLvl w:val="0"/>
        <w:rPr>
          <w:rFonts w:ascii="黑体" w:hAnsi="黑体" w:eastAsia="黑体" w:cs="宋体"/>
          <w:color w:val="auto"/>
          <w:kern w:val="0"/>
          <w:sz w:val="32"/>
          <w:szCs w:val="32"/>
        </w:rPr>
      </w:pPr>
      <w:bookmarkStart w:id="17" w:name="_Toc9361"/>
      <w:r>
        <w:rPr>
          <w:rFonts w:hint="eastAsia" w:ascii="黑体" w:hAnsi="黑体" w:eastAsia="黑体" w:cs="宋体"/>
          <w:color w:val="auto"/>
          <w:kern w:val="0"/>
          <w:sz w:val="32"/>
          <w:szCs w:val="32"/>
        </w:rPr>
        <w:t>四</w:t>
      </w:r>
      <w:r>
        <w:rPr>
          <w:rFonts w:ascii="黑体" w:hAnsi="黑体" w:eastAsia="黑体" w:cs="宋体"/>
          <w:color w:val="auto"/>
          <w:kern w:val="0"/>
          <w:sz w:val="32"/>
          <w:szCs w:val="32"/>
        </w:rPr>
        <w:t>、预算管理</w:t>
      </w:r>
      <w:r>
        <w:rPr>
          <w:rFonts w:hint="eastAsia" w:ascii="黑体" w:hAnsi="黑体" w:eastAsia="黑体" w:cs="宋体"/>
          <w:color w:val="auto"/>
          <w:kern w:val="0"/>
          <w:sz w:val="32"/>
          <w:szCs w:val="32"/>
        </w:rPr>
        <w:t>情况分</w:t>
      </w:r>
      <w:r>
        <w:rPr>
          <w:rFonts w:ascii="黑体" w:hAnsi="黑体" w:eastAsia="黑体" w:cs="宋体"/>
          <w:color w:val="auto"/>
          <w:kern w:val="0"/>
          <w:sz w:val="32"/>
          <w:szCs w:val="32"/>
        </w:rPr>
        <w:t>析</w:t>
      </w:r>
      <w:bookmarkEnd w:id="17"/>
    </w:p>
    <w:p>
      <w:pPr>
        <w:spacing w:line="600" w:lineRule="exact"/>
        <w:ind w:firstLine="643" w:firstLineChars="200"/>
        <w:outlineLvl w:val="1"/>
        <w:rPr>
          <w:rFonts w:ascii="楷体" w:hAnsi="楷体" w:eastAsia="楷体"/>
          <w:b/>
          <w:bCs/>
          <w:color w:val="auto"/>
          <w:sz w:val="32"/>
          <w:szCs w:val="32"/>
        </w:rPr>
      </w:pPr>
      <w:bookmarkStart w:id="18" w:name="_Toc12021"/>
      <w:r>
        <w:rPr>
          <w:rFonts w:hint="eastAsia" w:ascii="楷体" w:hAnsi="楷体" w:eastAsia="楷体"/>
          <w:b/>
          <w:bCs/>
          <w:color w:val="auto"/>
          <w:sz w:val="32"/>
          <w:szCs w:val="32"/>
        </w:rPr>
        <w:t>（一）财务管理</w:t>
      </w:r>
      <w:bookmarkEnd w:id="18"/>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ascii="仿宋_GB2312" w:hAnsi="楷体" w:eastAsia="仿宋_GB2312"/>
          <w:b/>
          <w:color w:val="auto"/>
          <w:kern w:val="0"/>
          <w:sz w:val="32"/>
          <w:szCs w:val="28"/>
        </w:rPr>
      </w:pPr>
      <w:bookmarkStart w:id="19" w:name="_Toc30206"/>
      <w:r>
        <w:rPr>
          <w:rFonts w:hint="eastAsia" w:ascii="仿宋_GB2312" w:hAnsi="楷体" w:eastAsia="仿宋_GB2312"/>
          <w:b/>
          <w:color w:val="auto"/>
          <w:kern w:val="0"/>
          <w:sz w:val="32"/>
          <w:szCs w:val="28"/>
        </w:rPr>
        <w:t>1.财务管理制度健全性</w:t>
      </w:r>
      <w:bookmarkEnd w:id="19"/>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w:t>
      </w:r>
      <w:r>
        <w:rPr>
          <w:rFonts w:hint="eastAsia" w:ascii="仿宋_GB2312" w:hAnsi="楷体" w:eastAsia="仿宋_GB2312"/>
          <w:bCs/>
          <w:color w:val="auto"/>
          <w:kern w:val="0"/>
          <w:sz w:val="32"/>
          <w:szCs w:val="28"/>
          <w:lang w:val="en-US" w:eastAsia="zh-CN"/>
        </w:rPr>
        <w:t>编制</w:t>
      </w:r>
      <w:r>
        <w:rPr>
          <w:rFonts w:hint="eastAsia" w:ascii="仿宋_GB2312" w:hAnsi="楷体" w:eastAsia="仿宋_GB2312"/>
          <w:bCs/>
          <w:color w:val="auto"/>
          <w:kern w:val="0"/>
          <w:sz w:val="32"/>
          <w:szCs w:val="28"/>
        </w:rPr>
        <w:t>了《北京市妇女联合会内部控制管理制度汇编》，已建立《中共北京市妇联党组会议事规则》《北京市妇联党组“三重一大”事项决策实施办法（试行）》《北京市妇女联合会预算管理办法》《北京市妇女联合会经费支出管理办法》《北京市妇女联合会购买社会组织服务项目实施细则（试行）》《北京市妇女联合会采购管理办法》《北京市妇女联合会固定资产管理办法》《北京市妇女联合会合同管理办法》等相关管理制度，对预算</w:t>
      </w:r>
      <w:r>
        <w:rPr>
          <w:rFonts w:hint="eastAsia" w:ascii="仿宋_GB2312" w:hAnsi="楷体" w:eastAsia="仿宋_GB2312"/>
          <w:bCs/>
          <w:color w:val="auto"/>
          <w:kern w:val="0"/>
          <w:sz w:val="32"/>
          <w:szCs w:val="28"/>
          <w:lang w:val="en-US" w:eastAsia="zh-CN"/>
        </w:rPr>
        <w:t>管理</w:t>
      </w:r>
      <w:r>
        <w:rPr>
          <w:rFonts w:hint="eastAsia" w:ascii="仿宋_GB2312" w:hAnsi="楷体" w:eastAsia="仿宋_GB2312"/>
          <w:bCs/>
          <w:color w:val="auto"/>
          <w:kern w:val="0"/>
          <w:sz w:val="32"/>
          <w:szCs w:val="28"/>
        </w:rPr>
        <w:t>、收支</w:t>
      </w:r>
      <w:r>
        <w:rPr>
          <w:rFonts w:hint="eastAsia" w:ascii="仿宋_GB2312" w:hAnsi="楷体" w:eastAsia="仿宋_GB2312"/>
          <w:bCs/>
          <w:color w:val="auto"/>
          <w:kern w:val="0"/>
          <w:sz w:val="32"/>
          <w:szCs w:val="28"/>
          <w:lang w:val="en-US" w:eastAsia="zh-CN"/>
        </w:rPr>
        <w:t>管理</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采购管理</w:t>
      </w:r>
      <w:r>
        <w:rPr>
          <w:rFonts w:hint="eastAsia" w:ascii="仿宋_GB2312" w:hAnsi="楷体" w:eastAsia="仿宋_GB2312"/>
          <w:bCs/>
          <w:color w:val="auto"/>
          <w:kern w:val="0"/>
          <w:sz w:val="32"/>
          <w:szCs w:val="28"/>
        </w:rPr>
        <w:t>、固定资产管理、合同管理等均进行了规定</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并明确了职责分工。制定了</w:t>
      </w:r>
      <w:r>
        <w:rPr>
          <w:rFonts w:hint="eastAsia" w:ascii="仿宋_GB2312" w:hAnsi="楷体" w:eastAsia="仿宋_GB2312"/>
          <w:bCs/>
          <w:color w:val="auto"/>
          <w:kern w:val="0"/>
          <w:sz w:val="32"/>
          <w:szCs w:val="28"/>
        </w:rPr>
        <w:t>《北京市妇女联合会财务管理办法》</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北京市妇女联合会内部审计工作规定</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等办法规定</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能够为内部财务管理工作提供较好的制度支撑，</w:t>
      </w:r>
      <w:r>
        <w:rPr>
          <w:rFonts w:hint="eastAsia" w:ascii="仿宋_GB2312" w:hAnsi="楷体" w:eastAsia="仿宋_GB2312"/>
          <w:bCs/>
          <w:color w:val="auto"/>
          <w:kern w:val="0"/>
          <w:sz w:val="32"/>
          <w:szCs w:val="28"/>
        </w:rPr>
        <w:t>部门财务管理制度较</w:t>
      </w:r>
      <w:r>
        <w:rPr>
          <w:rFonts w:hint="eastAsia" w:ascii="仿宋_GB2312" w:hAnsi="楷体" w:eastAsia="仿宋_GB2312"/>
          <w:bCs/>
          <w:color w:val="auto"/>
          <w:kern w:val="0"/>
          <w:sz w:val="32"/>
          <w:szCs w:val="28"/>
          <w:lang w:val="en-US" w:eastAsia="zh-CN"/>
        </w:rPr>
        <w:t>为</w:t>
      </w:r>
      <w:r>
        <w:rPr>
          <w:rFonts w:hint="eastAsia" w:ascii="仿宋_GB2312" w:hAnsi="楷体" w:eastAsia="仿宋_GB2312"/>
          <w:bCs/>
          <w:color w:val="auto"/>
          <w:kern w:val="0"/>
          <w:sz w:val="32"/>
          <w:szCs w:val="28"/>
        </w:rPr>
        <w:t>健全。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20" w:name="_Toc12599"/>
      <w:r>
        <w:rPr>
          <w:rFonts w:hint="eastAsia" w:ascii="仿宋_GB2312" w:hAnsi="楷体" w:eastAsia="仿宋_GB2312"/>
          <w:b/>
          <w:color w:val="auto"/>
          <w:kern w:val="0"/>
          <w:sz w:val="32"/>
          <w:szCs w:val="28"/>
        </w:rPr>
        <w:t>2.资金使用合规性和安全性</w:t>
      </w:r>
      <w:bookmarkEnd w:id="20"/>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年，市妇联严格执行政府会计准则制度及市级财政政策和部门预算管理相关规定与工作要求，</w:t>
      </w:r>
      <w:r>
        <w:rPr>
          <w:rFonts w:hint="eastAsia" w:ascii="仿宋_GB2312" w:hAnsi="楷体" w:eastAsia="仿宋_GB2312"/>
          <w:bCs/>
          <w:color w:val="auto"/>
          <w:kern w:val="0"/>
          <w:sz w:val="32"/>
          <w:szCs w:val="28"/>
          <w:lang w:val="en-US" w:eastAsia="zh-CN"/>
        </w:rPr>
        <w:t>按照</w:t>
      </w:r>
      <w:r>
        <w:rPr>
          <w:rFonts w:hint="eastAsia" w:ascii="仿宋_GB2312" w:hAnsi="楷体" w:eastAsia="仿宋_GB2312"/>
          <w:bCs/>
          <w:color w:val="auto"/>
          <w:kern w:val="0"/>
          <w:sz w:val="32"/>
          <w:szCs w:val="28"/>
        </w:rPr>
        <w:t>《北京市妇女联合会内部控制管理制度汇编》</w:t>
      </w:r>
      <w:r>
        <w:rPr>
          <w:rFonts w:hint="eastAsia" w:ascii="仿宋_GB2312" w:hAnsi="楷体" w:eastAsia="仿宋_GB2312"/>
          <w:bCs/>
          <w:color w:val="auto"/>
          <w:kern w:val="0"/>
          <w:sz w:val="32"/>
          <w:szCs w:val="28"/>
          <w:lang w:val="en-US" w:eastAsia="zh-CN"/>
        </w:rPr>
        <w:t>相关规定，</w:t>
      </w:r>
      <w:r>
        <w:rPr>
          <w:rFonts w:hint="eastAsia" w:ascii="仿宋_GB2312" w:hAnsi="宋体" w:eastAsia="仿宋_GB2312" w:cs="宋体"/>
          <w:color w:val="auto"/>
          <w:kern w:val="0"/>
          <w:sz w:val="32"/>
          <w:szCs w:val="32"/>
          <w:highlight w:val="none"/>
        </w:rPr>
        <w:t>明确财务管理的职责和工作程序，促进财务工作规范化、制度化和科学化，保证财政资金安全完整，切实降低单位运行成本，保障单位各项工作</w:t>
      </w:r>
      <w:r>
        <w:rPr>
          <w:rFonts w:hint="eastAsia" w:ascii="仿宋_GB2312" w:hAnsi="宋体" w:eastAsia="仿宋_GB2312" w:cs="宋体"/>
          <w:color w:val="auto"/>
          <w:kern w:val="0"/>
          <w:sz w:val="32"/>
          <w:szCs w:val="32"/>
          <w:highlight w:val="none"/>
          <w:lang w:val="en-US" w:eastAsia="zh-CN"/>
        </w:rPr>
        <w:t>开</w:t>
      </w:r>
      <w:r>
        <w:rPr>
          <w:rFonts w:hint="eastAsia" w:ascii="仿宋_GB2312" w:hAnsi="宋体" w:eastAsia="仿宋_GB2312" w:cs="宋体"/>
          <w:color w:val="auto"/>
          <w:kern w:val="0"/>
          <w:sz w:val="32"/>
          <w:szCs w:val="32"/>
          <w:highlight w:val="none"/>
        </w:rPr>
        <w:t>展</w:t>
      </w:r>
      <w:r>
        <w:rPr>
          <w:rFonts w:hint="eastAsia" w:ascii="仿宋_GB2312" w:hAnsi="宋体" w:eastAsia="仿宋_GB2312" w:cs="宋体"/>
          <w:color w:val="auto"/>
          <w:kern w:val="0"/>
          <w:sz w:val="32"/>
          <w:szCs w:val="32"/>
          <w:highlight w:val="none"/>
          <w:lang w:eastAsia="zh-CN"/>
        </w:rPr>
        <w:t>。</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资金支出控制在预算批复范围内，各项支出按照“逐级申报、逐级审批、合理授权”的方式，对资金使用环节严格管控，各项支出审批严格履行内部审批程序，</w:t>
      </w:r>
      <w:r>
        <w:rPr>
          <w:rFonts w:hint="eastAsia" w:ascii="仿宋_GB2312" w:hAnsi="楷体" w:eastAsia="仿宋_GB2312"/>
          <w:bCs/>
          <w:color w:val="auto"/>
          <w:kern w:val="0"/>
          <w:sz w:val="32"/>
          <w:szCs w:val="28"/>
        </w:rPr>
        <w:t>对于单项或批量金额在15万元（含）以上的公务支出，实行大额资金支出集体决策制度，</w:t>
      </w:r>
      <w:r>
        <w:rPr>
          <w:rFonts w:hint="eastAsia" w:ascii="仿宋_GB2312" w:hAnsi="楷体" w:eastAsia="仿宋_GB2312"/>
          <w:bCs/>
          <w:color w:val="auto"/>
          <w:kern w:val="0"/>
          <w:sz w:val="32"/>
          <w:szCs w:val="28"/>
          <w:lang w:val="en-US" w:eastAsia="zh-CN"/>
        </w:rPr>
        <w:t>有效保证了资金支付的安全性、合规性。</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21" w:name="_Toc17856"/>
      <w:r>
        <w:rPr>
          <w:rFonts w:hint="eastAsia" w:ascii="仿宋_GB2312" w:hAnsi="楷体" w:eastAsia="仿宋_GB2312"/>
          <w:b/>
          <w:color w:val="auto"/>
          <w:kern w:val="0"/>
          <w:sz w:val="32"/>
          <w:szCs w:val="28"/>
        </w:rPr>
        <w:t>3.会计基础信息完善性</w:t>
      </w:r>
      <w:bookmarkEnd w:id="21"/>
    </w:p>
    <w:p>
      <w:pPr>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市妇联严格按照</w:t>
      </w:r>
      <w:r>
        <w:rPr>
          <w:rFonts w:hint="eastAsia" w:ascii="仿宋_GB2312" w:hAnsi="仿宋_GB2312" w:eastAsia="仿宋_GB2312" w:cs="仿宋_GB2312"/>
          <w:b w:val="0"/>
          <w:bCs w:val="0"/>
          <w:color w:val="auto"/>
          <w:sz w:val="32"/>
          <w:szCs w:val="32"/>
        </w:rPr>
        <w:t>《中华人民共和国会计法》《中华人民共和国预算法》《政府会计准则——基本准则》《政府会计制度——行政事业单位会计科目和报</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kern w:val="0"/>
          <w:sz w:val="32"/>
          <w:szCs w:val="32"/>
          <w:lang w:val="en-US" w:eastAsia="zh-CN" w:bidi="ar"/>
        </w:rPr>
        <w:t>《政府会计准则制度解释第5号》</w:t>
      </w:r>
      <w:r>
        <w:rPr>
          <w:rFonts w:hint="eastAsia" w:ascii="仿宋_GB2312" w:hAnsi="楷体" w:eastAsia="仿宋_GB2312"/>
          <w:bCs/>
          <w:color w:val="auto"/>
          <w:kern w:val="0"/>
          <w:sz w:val="32"/>
          <w:szCs w:val="28"/>
          <w:lang w:val="en-US" w:eastAsia="zh-CN"/>
        </w:rPr>
        <w:t>等相关要求，开展会计基础工作，设置会计账簿，对发生的各项经济业务事项进行会计核算，通过</w:t>
      </w:r>
      <w:r>
        <w:rPr>
          <w:rFonts w:hint="eastAsia" w:ascii="仿宋_GB2312" w:hAnsi="楷体" w:eastAsia="仿宋_GB2312"/>
          <w:bCs/>
          <w:color w:val="auto"/>
          <w:kern w:val="0"/>
          <w:sz w:val="32"/>
          <w:szCs w:val="28"/>
        </w:rPr>
        <w:t>填制会计凭证，登记会计账簿，编制财务会计报告</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办公室财务负责往来款项的日常管理，设立登记往来款项的备查账，记录形成原因。</w:t>
      </w:r>
      <w:r>
        <w:rPr>
          <w:rFonts w:hint="eastAsia" w:ascii="仿宋_GB2312" w:eastAsia="仿宋_GB2312"/>
          <w:color w:val="auto"/>
          <w:sz w:val="32"/>
          <w:szCs w:val="32"/>
        </w:rPr>
        <w:t>定期或者不定期</w:t>
      </w:r>
      <w:r>
        <w:rPr>
          <w:rFonts w:hint="eastAsia" w:ascii="仿宋_GB2312" w:eastAsia="仿宋_GB2312"/>
          <w:color w:val="auto"/>
          <w:sz w:val="32"/>
          <w:szCs w:val="32"/>
          <w:lang w:eastAsia="zh-CN"/>
        </w:rPr>
        <w:t>地</w:t>
      </w:r>
      <w:r>
        <w:rPr>
          <w:rFonts w:hint="eastAsia" w:ascii="仿宋_GB2312" w:eastAsia="仿宋_GB2312"/>
          <w:color w:val="auto"/>
          <w:sz w:val="32"/>
          <w:szCs w:val="32"/>
        </w:rPr>
        <w:t>对资产进行账务清理、对实物进行清查盘点</w:t>
      </w:r>
      <w:r>
        <w:rPr>
          <w:rFonts w:hint="eastAsia" w:ascii="仿宋_GB2312" w:hAnsi="楷体" w:eastAsia="仿宋_GB2312"/>
          <w:bCs/>
          <w:color w:val="auto"/>
          <w:kern w:val="0"/>
          <w:sz w:val="32"/>
          <w:szCs w:val="28"/>
          <w:lang w:val="en-US" w:eastAsia="zh-CN"/>
        </w:rPr>
        <w:t>等，保证财务基础数据信息和会计信息资料的真实、完整和准确，能够全面、清晰地反映财务信息和预算执行信息，保证了会计信息质量。</w:t>
      </w:r>
    </w:p>
    <w:p>
      <w:pPr>
        <w:spacing w:line="600" w:lineRule="exact"/>
        <w:ind w:firstLine="643" w:firstLineChars="200"/>
        <w:outlineLvl w:val="1"/>
        <w:rPr>
          <w:rFonts w:ascii="楷体" w:hAnsi="楷体" w:eastAsia="楷体"/>
          <w:b/>
          <w:bCs/>
          <w:color w:val="auto"/>
          <w:sz w:val="32"/>
          <w:szCs w:val="32"/>
        </w:rPr>
      </w:pPr>
      <w:bookmarkStart w:id="22" w:name="_Toc4089"/>
      <w:r>
        <w:rPr>
          <w:rFonts w:hint="eastAsia" w:ascii="楷体" w:hAnsi="楷体" w:eastAsia="楷体"/>
          <w:b/>
          <w:bCs/>
          <w:color w:val="auto"/>
          <w:sz w:val="32"/>
          <w:szCs w:val="32"/>
        </w:rPr>
        <w:t>（二）资产管理</w:t>
      </w:r>
      <w:bookmarkEnd w:id="22"/>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23" w:name="_Toc19073"/>
      <w:r>
        <w:rPr>
          <w:rFonts w:hint="eastAsia" w:ascii="仿宋_GB2312" w:hAnsi="楷体" w:eastAsia="仿宋_GB2312"/>
          <w:b/>
          <w:color w:val="auto"/>
          <w:kern w:val="0"/>
          <w:sz w:val="32"/>
          <w:szCs w:val="28"/>
        </w:rPr>
        <w:t>1.资产总体情况</w:t>
      </w:r>
      <w:bookmarkEnd w:id="23"/>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截至202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年12月31日，市妇联资产总额账面净值</w:t>
      </w:r>
      <w:r>
        <w:rPr>
          <w:rFonts w:hint="eastAsia" w:ascii="仿宋_GB2312" w:hAnsi="楷体" w:eastAsia="仿宋_GB2312"/>
          <w:bCs/>
          <w:color w:val="auto"/>
          <w:kern w:val="0"/>
          <w:sz w:val="32"/>
          <w:szCs w:val="28"/>
          <w:lang w:val="en-US" w:eastAsia="zh-CN"/>
        </w:rPr>
        <w:t>1,966.013439</w:t>
      </w:r>
      <w:r>
        <w:rPr>
          <w:rFonts w:hint="eastAsia" w:ascii="仿宋_GB2312" w:hAnsi="楷体" w:eastAsia="仿宋_GB2312"/>
          <w:bCs/>
          <w:color w:val="auto"/>
          <w:kern w:val="0"/>
          <w:sz w:val="32"/>
          <w:szCs w:val="28"/>
        </w:rPr>
        <w:t>万元，其中：货币资金</w:t>
      </w:r>
      <w:r>
        <w:rPr>
          <w:rFonts w:hint="eastAsia" w:ascii="仿宋_GB2312" w:hAnsi="楷体" w:eastAsia="仿宋_GB2312"/>
          <w:bCs/>
          <w:color w:val="auto"/>
          <w:kern w:val="0"/>
          <w:sz w:val="32"/>
          <w:szCs w:val="28"/>
          <w:lang w:val="en-US" w:eastAsia="zh-CN"/>
        </w:rPr>
        <w:t>505.668933</w:t>
      </w:r>
      <w:r>
        <w:rPr>
          <w:rFonts w:hint="eastAsia" w:ascii="仿宋_GB2312" w:hAnsi="楷体" w:eastAsia="仿宋_GB2312"/>
          <w:bCs/>
          <w:color w:val="auto"/>
          <w:kern w:val="0"/>
          <w:sz w:val="32"/>
          <w:szCs w:val="28"/>
        </w:rPr>
        <w:t>万元，财政应返还额度</w:t>
      </w:r>
      <w:r>
        <w:rPr>
          <w:rFonts w:hint="eastAsia" w:ascii="仿宋_GB2312" w:hAnsi="楷体" w:eastAsia="仿宋_GB2312"/>
          <w:bCs/>
          <w:color w:val="auto"/>
          <w:kern w:val="0"/>
          <w:sz w:val="32"/>
          <w:szCs w:val="28"/>
          <w:lang w:val="en-US" w:eastAsia="zh-CN"/>
        </w:rPr>
        <w:t>333.861717</w:t>
      </w:r>
      <w:r>
        <w:rPr>
          <w:rFonts w:hint="eastAsia" w:ascii="仿宋_GB2312" w:hAnsi="楷体" w:eastAsia="仿宋_GB2312"/>
          <w:bCs/>
          <w:color w:val="auto"/>
          <w:kern w:val="0"/>
          <w:sz w:val="32"/>
          <w:szCs w:val="28"/>
        </w:rPr>
        <w:t>万元，</w:t>
      </w:r>
      <w:r>
        <w:rPr>
          <w:rFonts w:hint="eastAsia" w:ascii="仿宋_GB2312" w:hAnsi="楷体" w:eastAsia="仿宋_GB2312"/>
          <w:bCs/>
          <w:color w:val="auto"/>
          <w:kern w:val="0"/>
          <w:sz w:val="32"/>
          <w:szCs w:val="28"/>
          <w:lang w:val="en-US" w:eastAsia="zh-CN"/>
        </w:rPr>
        <w:t>预付账款24.218800万元，</w:t>
      </w:r>
      <w:r>
        <w:rPr>
          <w:rFonts w:hint="eastAsia" w:ascii="仿宋_GB2312" w:hAnsi="楷体" w:eastAsia="仿宋_GB2312"/>
          <w:bCs/>
          <w:color w:val="auto"/>
          <w:kern w:val="0"/>
          <w:sz w:val="32"/>
          <w:szCs w:val="28"/>
        </w:rPr>
        <w:t>其他应收款净额</w:t>
      </w:r>
      <w:r>
        <w:rPr>
          <w:rFonts w:hint="eastAsia" w:ascii="仿宋_GB2312" w:hAnsi="楷体" w:eastAsia="仿宋_GB2312"/>
          <w:bCs/>
          <w:color w:val="auto"/>
          <w:kern w:val="0"/>
          <w:sz w:val="32"/>
          <w:szCs w:val="28"/>
          <w:lang w:val="en-US" w:eastAsia="zh-CN"/>
        </w:rPr>
        <w:t>0.306500</w:t>
      </w:r>
      <w:r>
        <w:rPr>
          <w:rFonts w:hint="eastAsia" w:ascii="仿宋_GB2312" w:hAnsi="楷体" w:eastAsia="仿宋_GB2312"/>
          <w:bCs/>
          <w:color w:val="auto"/>
          <w:kern w:val="0"/>
          <w:sz w:val="32"/>
          <w:szCs w:val="28"/>
        </w:rPr>
        <w:t>万元，固定资产净值</w:t>
      </w:r>
      <w:r>
        <w:rPr>
          <w:rFonts w:hint="eastAsia" w:ascii="仿宋_GB2312" w:hAnsi="楷体" w:eastAsia="仿宋_GB2312"/>
          <w:bCs/>
          <w:color w:val="auto"/>
          <w:kern w:val="0"/>
          <w:sz w:val="32"/>
          <w:szCs w:val="28"/>
          <w:lang w:val="en-US" w:eastAsia="zh-CN"/>
        </w:rPr>
        <w:t>800.230101</w:t>
      </w:r>
      <w:r>
        <w:rPr>
          <w:rFonts w:hint="eastAsia" w:ascii="仿宋_GB2312" w:hAnsi="楷体" w:eastAsia="仿宋_GB2312"/>
          <w:bCs/>
          <w:color w:val="auto"/>
          <w:kern w:val="0"/>
          <w:sz w:val="32"/>
          <w:szCs w:val="28"/>
        </w:rPr>
        <w:t>万元，无形资产净值298.917594万元，受托代理资产2.809794万元，无在建工程。</w:t>
      </w:r>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固定资产净值</w:t>
      </w:r>
      <w:r>
        <w:rPr>
          <w:rFonts w:hint="eastAsia" w:ascii="仿宋_GB2312" w:hAnsi="楷体" w:eastAsia="仿宋_GB2312"/>
          <w:bCs/>
          <w:color w:val="auto"/>
          <w:kern w:val="0"/>
          <w:sz w:val="32"/>
          <w:szCs w:val="28"/>
          <w:lang w:val="en-US" w:eastAsia="zh-CN"/>
        </w:rPr>
        <w:t>800.230101</w:t>
      </w:r>
      <w:r>
        <w:rPr>
          <w:rFonts w:hint="eastAsia" w:ascii="仿宋_GB2312" w:hAnsi="楷体" w:eastAsia="仿宋_GB2312"/>
          <w:bCs/>
          <w:color w:val="auto"/>
          <w:kern w:val="0"/>
          <w:sz w:val="32"/>
          <w:szCs w:val="28"/>
        </w:rPr>
        <w:t>万元，</w:t>
      </w:r>
      <w:r>
        <w:rPr>
          <w:rFonts w:hint="eastAsia" w:ascii="仿宋_GB2312" w:hAnsi="楷体" w:eastAsia="仿宋_GB2312"/>
          <w:bCs/>
          <w:color w:val="auto"/>
          <w:kern w:val="0"/>
          <w:sz w:val="32"/>
          <w:szCs w:val="28"/>
          <w:lang w:val="en-US" w:eastAsia="zh-CN"/>
        </w:rPr>
        <w:t>包括：</w:t>
      </w:r>
      <w:r>
        <w:rPr>
          <w:rFonts w:hint="eastAsia" w:ascii="仿宋_GB2312" w:hAnsi="楷体" w:eastAsia="仿宋_GB2312"/>
          <w:bCs/>
          <w:color w:val="auto"/>
          <w:kern w:val="0"/>
          <w:sz w:val="32"/>
          <w:szCs w:val="28"/>
        </w:rPr>
        <w:t>房屋和构筑物171.935259万元，占固定资产的2</w:t>
      </w:r>
      <w:r>
        <w:rPr>
          <w:rFonts w:hint="eastAsia" w:ascii="仿宋_GB2312" w:hAnsi="楷体" w:eastAsia="仿宋_GB2312"/>
          <w:bCs/>
          <w:color w:val="auto"/>
          <w:kern w:val="0"/>
          <w:sz w:val="32"/>
          <w:szCs w:val="28"/>
          <w:lang w:val="en-US" w:eastAsia="zh-CN"/>
        </w:rPr>
        <w:t>1</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49</w:t>
      </w:r>
      <w:r>
        <w:rPr>
          <w:rFonts w:hint="eastAsia" w:ascii="仿宋_GB2312" w:hAnsi="楷体" w:eastAsia="仿宋_GB2312"/>
          <w:bCs/>
          <w:color w:val="auto"/>
          <w:kern w:val="0"/>
          <w:sz w:val="32"/>
          <w:szCs w:val="28"/>
        </w:rPr>
        <w:t>%；设备403.905876万元，占固定资产的5</w:t>
      </w:r>
      <w:r>
        <w:rPr>
          <w:rFonts w:hint="eastAsia" w:ascii="仿宋_GB2312" w:hAnsi="楷体" w:eastAsia="仿宋_GB2312"/>
          <w:bCs/>
          <w:color w:val="auto"/>
          <w:kern w:val="0"/>
          <w:sz w:val="32"/>
          <w:szCs w:val="28"/>
          <w:lang w:val="en-US" w:eastAsia="zh-CN"/>
        </w:rPr>
        <w:t>0</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47</w:t>
      </w:r>
      <w:r>
        <w:rPr>
          <w:rFonts w:hint="eastAsia" w:ascii="仿宋_GB2312" w:hAnsi="楷体" w:eastAsia="仿宋_GB2312"/>
          <w:bCs/>
          <w:color w:val="auto"/>
          <w:kern w:val="0"/>
          <w:sz w:val="32"/>
          <w:szCs w:val="28"/>
        </w:rPr>
        <w:t>%，其中车辆为0万元；图书档案129.708605万元，占固定资产的16.21%；家具和用具94.680361万元，占固定资产的11.83%。</w:t>
      </w:r>
    </w:p>
    <w:p>
      <w:pPr>
        <w:ind w:firstLine="640" w:firstLineChars="200"/>
        <w:rPr>
          <w:rFonts w:hint="eastAsia" w:ascii="仿宋_GB2312" w:hAnsi="仿宋_GB2312" w:eastAsia="仿宋_GB2312" w:cs="仿宋_GB2312"/>
          <w:b w:val="0"/>
          <w:i w:val="0"/>
          <w:color w:val="auto"/>
          <w:sz w:val="32"/>
          <w:szCs w:val="32"/>
          <w:u w:val="none"/>
        </w:rPr>
      </w:pPr>
      <w:r>
        <w:rPr>
          <w:rFonts w:hint="eastAsia" w:ascii="仿宋_GB2312" w:hAnsi="仿宋_GB2312" w:eastAsia="仿宋_GB2312" w:cs="仿宋_GB2312"/>
          <w:b w:val="0"/>
          <w:i w:val="0"/>
          <w:color w:val="auto"/>
          <w:sz w:val="32"/>
          <w:szCs w:val="32"/>
          <w:u w:val="none"/>
          <w:lang w:val="en-US" w:eastAsia="zh-CN"/>
        </w:rPr>
        <w:t>市妇联</w:t>
      </w:r>
      <w:r>
        <w:rPr>
          <w:rFonts w:hint="eastAsia" w:ascii="仿宋_GB2312" w:hAnsi="仿宋_GB2312" w:eastAsia="仿宋_GB2312" w:cs="仿宋_GB2312"/>
          <w:b w:val="0"/>
          <w:i w:val="0"/>
          <w:color w:val="auto"/>
          <w:sz w:val="32"/>
          <w:szCs w:val="32"/>
          <w:u w:val="none"/>
        </w:rPr>
        <w:t>自用固定资产2,179.992031万元，占账面固定资产总额的100.00%，其中</w:t>
      </w:r>
      <w:r>
        <w:rPr>
          <w:rFonts w:hint="eastAsia" w:ascii="仿宋_GB2312" w:hAnsi="仿宋_GB2312" w:eastAsia="仿宋_GB2312" w:cs="仿宋_GB2312"/>
          <w:b w:val="0"/>
          <w:i w:val="0"/>
          <w:color w:val="auto"/>
          <w:sz w:val="32"/>
          <w:szCs w:val="32"/>
          <w:u w:val="none"/>
          <w:lang w:eastAsia="zh-CN"/>
        </w:rPr>
        <w:t>：</w:t>
      </w:r>
      <w:r>
        <w:rPr>
          <w:rFonts w:hint="eastAsia" w:ascii="仿宋_GB2312" w:hAnsi="仿宋_GB2312" w:eastAsia="仿宋_GB2312" w:cs="仿宋_GB2312"/>
          <w:b w:val="0"/>
          <w:i w:val="0"/>
          <w:color w:val="auto"/>
          <w:sz w:val="32"/>
          <w:szCs w:val="32"/>
          <w:u w:val="none"/>
        </w:rPr>
        <w:t>在用2,118.856914万元，占账面固定资产总额的97.20%；闲置3.394342万元，占账面固定资产总额的0.16%；待处置（待报废、毁损等）57.740775万元，占账面固定资产总额的2.6</w:t>
      </w:r>
      <w:r>
        <w:rPr>
          <w:rFonts w:hint="eastAsia" w:ascii="仿宋_GB2312" w:hAnsi="仿宋_GB2312" w:eastAsia="仿宋_GB2312" w:cs="仿宋_GB2312"/>
          <w:b w:val="0"/>
          <w:i w:val="0"/>
          <w:color w:val="auto"/>
          <w:sz w:val="32"/>
          <w:szCs w:val="32"/>
          <w:u w:val="none"/>
          <w:lang w:val="en-US" w:eastAsia="zh-CN"/>
        </w:rPr>
        <w:t>4</w:t>
      </w:r>
      <w:r>
        <w:rPr>
          <w:rFonts w:hint="eastAsia" w:ascii="仿宋_GB2312" w:hAnsi="仿宋_GB2312" w:eastAsia="仿宋_GB2312" w:cs="仿宋_GB2312"/>
          <w:b w:val="0"/>
          <w:i w:val="0"/>
          <w:color w:val="auto"/>
          <w:sz w:val="32"/>
          <w:szCs w:val="32"/>
          <w:u w:val="none"/>
        </w:rPr>
        <w:t>%。</w:t>
      </w:r>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w:t>
      </w:r>
      <w:r>
        <w:rPr>
          <w:rFonts w:hint="eastAsia" w:ascii="仿宋_GB2312" w:hAnsi="仿宋_GB2312" w:eastAsia="仿宋_GB2312" w:cs="仿宋_GB2312"/>
          <w:b w:val="0"/>
          <w:i w:val="0"/>
          <w:color w:val="auto"/>
          <w:sz w:val="32"/>
          <w:szCs w:val="32"/>
          <w:u w:val="none"/>
        </w:rPr>
        <w:t>自用无形资产513.585696万元</w:t>
      </w:r>
      <w:r>
        <w:rPr>
          <w:rFonts w:hint="eastAsia" w:ascii="仿宋_GB2312" w:hAnsi="楷体" w:eastAsia="仿宋_GB2312"/>
          <w:bCs/>
          <w:color w:val="auto"/>
          <w:kern w:val="0"/>
          <w:sz w:val="32"/>
          <w:szCs w:val="28"/>
        </w:rPr>
        <w:t>，全部在用，无出租出借无形资产。</w:t>
      </w:r>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市妇联处置资产46.653325万元，全部为固定资产，处置形式为</w:t>
      </w:r>
      <w:r>
        <w:rPr>
          <w:rFonts w:hint="eastAsia" w:ascii="仿宋_GB2312" w:hAnsi="楷体" w:eastAsia="仿宋_GB2312"/>
          <w:bCs/>
          <w:color w:val="auto"/>
          <w:kern w:val="0"/>
          <w:sz w:val="32"/>
          <w:szCs w:val="28"/>
          <w:lang w:val="en-US" w:eastAsia="zh-CN"/>
        </w:rPr>
        <w:t>无偿划转和</w:t>
      </w:r>
      <w:r>
        <w:rPr>
          <w:rFonts w:hint="eastAsia" w:ascii="仿宋_GB2312" w:hAnsi="楷体" w:eastAsia="仿宋_GB2312"/>
          <w:bCs/>
          <w:color w:val="auto"/>
          <w:kern w:val="0"/>
          <w:sz w:val="32"/>
          <w:szCs w:val="28"/>
        </w:rPr>
        <w:t>报废。</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eastAsia" w:ascii="仿宋_GB2312" w:hAnsi="楷体" w:eastAsia="仿宋_GB2312"/>
          <w:b/>
          <w:color w:val="auto"/>
          <w:kern w:val="0"/>
          <w:sz w:val="32"/>
          <w:szCs w:val="28"/>
        </w:rPr>
      </w:pPr>
      <w:bookmarkStart w:id="24" w:name="_Toc32064"/>
      <w:r>
        <w:rPr>
          <w:rFonts w:hint="eastAsia" w:ascii="仿宋_GB2312" w:hAnsi="楷体" w:eastAsia="仿宋_GB2312"/>
          <w:b/>
          <w:color w:val="auto"/>
          <w:kern w:val="0"/>
          <w:sz w:val="32"/>
          <w:szCs w:val="28"/>
        </w:rPr>
        <w:t>2.资产管理制度及过程管理情况</w:t>
      </w:r>
      <w:bookmarkEnd w:id="24"/>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市妇联制定了</w:t>
      </w:r>
      <w:r>
        <w:rPr>
          <w:rFonts w:hint="eastAsia" w:ascii="仿宋_GB2312" w:hAnsi="楷体" w:eastAsia="仿宋_GB2312"/>
          <w:bCs/>
          <w:color w:val="auto"/>
          <w:kern w:val="0"/>
          <w:sz w:val="32"/>
          <w:szCs w:val="28"/>
        </w:rPr>
        <w:t>《北京市妇女联合会固定资产管理办法》</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设置归口部门，明确岗位职责，确定资产管理责任分工，细化资产管理工作程序，明确固定资产的标准，建立了固定资产配置、计价、验收、登记、日常管理、盘点、处置、清查、信息管理等的全过程监管机制，规范和加强固定资产管理，合理配置和使用单位固定资产，提高了资产使用效益。2024年初，为了进一步加强对资产的管理，市妇联新修订形成</w:t>
      </w:r>
      <w:r>
        <w:rPr>
          <w:rFonts w:hint="eastAsia" w:ascii="仿宋_GB2312" w:hAnsi="楷体" w:eastAsia="仿宋_GB2312"/>
          <w:bCs/>
          <w:color w:val="auto"/>
          <w:kern w:val="0"/>
          <w:sz w:val="32"/>
          <w:szCs w:val="28"/>
        </w:rPr>
        <w:t>《北京市妇女联合会</w:t>
      </w:r>
      <w:r>
        <w:rPr>
          <w:rFonts w:hint="eastAsia" w:ascii="仿宋_GB2312" w:hAnsi="楷体" w:eastAsia="仿宋_GB2312"/>
          <w:bCs/>
          <w:color w:val="auto"/>
          <w:kern w:val="0"/>
          <w:sz w:val="32"/>
          <w:szCs w:val="28"/>
          <w:lang w:val="en-US" w:eastAsia="zh-CN"/>
        </w:rPr>
        <w:t>国有</w:t>
      </w:r>
      <w:r>
        <w:rPr>
          <w:rFonts w:hint="eastAsia" w:ascii="仿宋_GB2312" w:hAnsi="楷体" w:eastAsia="仿宋_GB2312"/>
          <w:bCs/>
          <w:color w:val="auto"/>
          <w:kern w:val="0"/>
          <w:sz w:val="32"/>
          <w:szCs w:val="28"/>
        </w:rPr>
        <w:t>资产管理办法》</w:t>
      </w:r>
      <w:r>
        <w:rPr>
          <w:rFonts w:hint="eastAsia" w:ascii="仿宋_GB2312" w:hAnsi="楷体" w:eastAsia="仿宋_GB2312"/>
          <w:bCs/>
          <w:color w:val="auto"/>
          <w:kern w:val="0"/>
          <w:sz w:val="32"/>
          <w:szCs w:val="28"/>
          <w:lang w:eastAsia="zh-CN"/>
        </w:rPr>
        <w:t>。</w:t>
      </w:r>
    </w:p>
    <w:p>
      <w:pPr>
        <w:spacing w:line="600" w:lineRule="exact"/>
        <w:ind w:firstLine="643" w:firstLineChars="200"/>
        <w:outlineLvl w:val="1"/>
        <w:rPr>
          <w:rFonts w:ascii="楷体" w:hAnsi="楷体" w:eastAsia="楷体"/>
          <w:b/>
          <w:bCs/>
          <w:color w:val="auto"/>
          <w:sz w:val="32"/>
          <w:szCs w:val="32"/>
        </w:rPr>
      </w:pPr>
      <w:bookmarkStart w:id="25" w:name="_Toc29740"/>
      <w:r>
        <w:rPr>
          <w:rFonts w:hint="eastAsia" w:ascii="楷体" w:hAnsi="楷体" w:eastAsia="楷体"/>
          <w:b/>
          <w:bCs/>
          <w:color w:val="auto"/>
          <w:sz w:val="32"/>
          <w:szCs w:val="32"/>
        </w:rPr>
        <w:t>（三）绩效</w:t>
      </w:r>
      <w:r>
        <w:rPr>
          <w:rFonts w:ascii="楷体" w:hAnsi="楷体" w:eastAsia="楷体"/>
          <w:b/>
          <w:bCs/>
          <w:color w:val="auto"/>
          <w:sz w:val="32"/>
          <w:szCs w:val="32"/>
        </w:rPr>
        <w:t>管理</w:t>
      </w:r>
      <w:bookmarkEnd w:id="25"/>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w:t>
      </w:r>
      <w:r>
        <w:rPr>
          <w:rFonts w:hint="eastAsia" w:ascii="Calibri" w:hAnsi="Calibri" w:eastAsia="仿宋_GB2312" w:cs="Calibri"/>
          <w:color w:val="auto"/>
          <w:sz w:val="32"/>
          <w:szCs w:val="32"/>
        </w:rPr>
        <w:t>贯彻落实</w:t>
      </w:r>
      <w:r>
        <w:rPr>
          <w:rFonts w:hint="eastAsia" w:ascii="仿宋_GB2312" w:hAnsi="宋体" w:eastAsia="仿宋_GB2312" w:cs="宋体"/>
          <w:color w:val="auto"/>
          <w:kern w:val="0"/>
          <w:sz w:val="32"/>
          <w:szCs w:val="32"/>
        </w:rPr>
        <w:t>全面预算绩效管理要求，深化全过程预算绩效管理，</w:t>
      </w:r>
      <w:r>
        <w:rPr>
          <w:rFonts w:hint="eastAsia" w:ascii="仿宋_GB2312" w:hAnsi="楷体" w:eastAsia="仿宋_GB2312"/>
          <w:bCs/>
          <w:color w:val="auto"/>
          <w:kern w:val="0"/>
          <w:sz w:val="32"/>
          <w:szCs w:val="28"/>
          <w:lang w:val="en-US" w:eastAsia="zh-CN"/>
        </w:rPr>
        <w:t>逐步建立“预算编制有目标、预算执行有监控、预算完成有评价、评价结果有反馈、反馈结果有应用”的全过程预算管理绩效机制。</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2023年4月-5月，市妇联扎实开展年度预算绩效评价工作，组织实施2022年度项目绩效管理工作，包括单位自评、重点项目部门评价、部门整体绩效评价等项工作。</w:t>
      </w:r>
    </w:p>
    <w:p>
      <w:pPr>
        <w:ind w:firstLine="640" w:firstLineChars="200"/>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2023年7-8月，积极开展重点领域项目支出成本绩效分析，选取“家庭家教家风建设”项目开展了成本预算绩效分析，与绩效目标相结合，从合理配置资源、规范预算资金分配等角度提升项目预算绩效管理水平，明确了部分内容的成本定额，强化了成本绩效意识。</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宋体" w:eastAsia="仿宋_GB2312" w:cs="宋体"/>
          <w:color w:val="auto"/>
          <w:kern w:val="0"/>
          <w:sz w:val="32"/>
          <w:szCs w:val="32"/>
          <w:lang w:val="en-US" w:eastAsia="zh-CN"/>
        </w:rPr>
        <w:t>2023年8月，</w:t>
      </w:r>
      <w:r>
        <w:rPr>
          <w:rFonts w:hint="eastAsia" w:ascii="仿宋_GB2312" w:hAnsi="楷体" w:eastAsia="仿宋_GB2312"/>
          <w:bCs/>
          <w:color w:val="auto"/>
          <w:kern w:val="0"/>
          <w:sz w:val="32"/>
          <w:szCs w:val="28"/>
        </w:rPr>
        <w:t>开展202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w:t>
      </w:r>
      <w:r>
        <w:rPr>
          <w:rFonts w:hint="eastAsia" w:ascii="仿宋_GB2312" w:hAnsi="楷体" w:eastAsia="仿宋_GB2312"/>
          <w:bCs/>
          <w:color w:val="auto"/>
          <w:kern w:val="0"/>
          <w:sz w:val="32"/>
          <w:szCs w:val="28"/>
          <w:lang w:val="en-US" w:eastAsia="zh-CN"/>
        </w:rPr>
        <w:t>度</w:t>
      </w:r>
      <w:r>
        <w:rPr>
          <w:rFonts w:hint="eastAsia" w:ascii="仿宋_GB2312" w:hAnsi="楷体" w:eastAsia="仿宋_GB2312"/>
          <w:bCs/>
          <w:color w:val="auto"/>
          <w:kern w:val="0"/>
          <w:sz w:val="32"/>
          <w:szCs w:val="28"/>
        </w:rPr>
        <w:t>部门预算项目全过程绩效监控</w:t>
      </w:r>
      <w:r>
        <w:rPr>
          <w:rFonts w:hint="eastAsia" w:ascii="仿宋_GB2312" w:hAnsi="楷体" w:eastAsia="仿宋_GB2312"/>
          <w:bCs/>
          <w:color w:val="auto"/>
          <w:kern w:val="0"/>
          <w:sz w:val="32"/>
          <w:szCs w:val="28"/>
          <w:lang w:val="en-US" w:eastAsia="zh-CN"/>
        </w:rPr>
        <w:t>工作，对项目绩效目标阶段性完成情况与预算执行情况实行“双监控”，对发现的绩效目标执行存在的偏差及时采取分类处置措施予以纠正。</w:t>
      </w:r>
    </w:p>
    <w:p>
      <w:pPr>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本次绩效评价工作，市妇联按照</w:t>
      </w:r>
      <w:r>
        <w:rPr>
          <w:rFonts w:hint="eastAsia" w:ascii="仿宋_GB2312" w:hAnsi="楷体" w:eastAsia="仿宋_GB2312"/>
          <w:bCs/>
          <w:color w:val="auto"/>
          <w:kern w:val="0"/>
          <w:sz w:val="32"/>
          <w:szCs w:val="28"/>
          <w:lang w:val="en-US" w:eastAsia="zh-CN"/>
        </w:rPr>
        <w:t>北京市财政局</w:t>
      </w:r>
      <w:r>
        <w:rPr>
          <w:rFonts w:hint="eastAsia" w:ascii="仿宋_GB2312" w:hAnsi="楷体" w:eastAsia="仿宋_GB2312"/>
          <w:bCs/>
          <w:color w:val="auto"/>
          <w:kern w:val="0"/>
          <w:sz w:val="32"/>
          <w:szCs w:val="28"/>
        </w:rPr>
        <w:t>《关于开展2024年预算绩效管理相关工作的函》</w:t>
      </w:r>
      <w:r>
        <w:rPr>
          <w:rFonts w:hint="eastAsia" w:ascii="仿宋_GB2312" w:hAnsi="楷体" w:eastAsia="仿宋_GB2312"/>
          <w:bCs/>
          <w:color w:val="auto"/>
          <w:kern w:val="0"/>
          <w:sz w:val="32"/>
          <w:szCs w:val="28"/>
          <w:lang w:val="en-US" w:eastAsia="zh-CN"/>
        </w:rPr>
        <w:t>的</w:t>
      </w:r>
      <w:r>
        <w:rPr>
          <w:rFonts w:hint="eastAsia" w:ascii="仿宋_GB2312" w:hAnsi="楷体" w:eastAsia="仿宋_GB2312"/>
          <w:bCs/>
          <w:color w:val="auto"/>
          <w:kern w:val="0"/>
          <w:sz w:val="32"/>
          <w:szCs w:val="28"/>
        </w:rPr>
        <w:t>工作安排，对</w:t>
      </w:r>
      <w:r>
        <w:rPr>
          <w:rFonts w:hint="eastAsia" w:ascii="仿宋_GB2312" w:hAnsi="楷体" w:eastAsia="仿宋_GB2312"/>
          <w:bCs/>
          <w:color w:val="auto"/>
          <w:kern w:val="0"/>
          <w:sz w:val="32"/>
          <w:szCs w:val="28"/>
          <w:lang w:val="en-US" w:eastAsia="zh-CN"/>
        </w:rPr>
        <w:t>25</w:t>
      </w:r>
      <w:r>
        <w:rPr>
          <w:rFonts w:hint="eastAsia" w:ascii="仿宋_GB2312" w:hAnsi="楷体" w:eastAsia="仿宋_GB2312"/>
          <w:bCs/>
          <w:color w:val="auto"/>
          <w:kern w:val="0"/>
          <w:sz w:val="32"/>
          <w:szCs w:val="28"/>
        </w:rPr>
        <w:t>个部门预算项目采取单位自评方式开展绩效评价，</w:t>
      </w:r>
      <w:r>
        <w:rPr>
          <w:rFonts w:hint="eastAsia" w:ascii="仿宋_GB2312" w:hAnsi="楷体" w:eastAsia="仿宋_GB2312"/>
          <w:bCs/>
          <w:color w:val="auto"/>
          <w:kern w:val="0"/>
          <w:sz w:val="32"/>
          <w:szCs w:val="28"/>
          <w:lang w:val="en-US" w:eastAsia="zh-CN"/>
        </w:rPr>
        <w:t>形成各</w:t>
      </w:r>
      <w:r>
        <w:rPr>
          <w:rFonts w:hint="eastAsia" w:ascii="仿宋_GB2312" w:hAnsi="楷体" w:eastAsia="仿宋_GB2312"/>
          <w:bCs/>
          <w:color w:val="auto"/>
          <w:kern w:val="0"/>
          <w:sz w:val="32"/>
          <w:szCs w:val="28"/>
        </w:rPr>
        <w:t>项目支出绩效自评表；对“北京妇女儿童公益志愿服务推进”项目开展部门评价，出具绩效评价报告</w:t>
      </w:r>
      <w:r>
        <w:rPr>
          <w:rFonts w:hint="eastAsia" w:ascii="仿宋_GB2312" w:hAnsi="楷体" w:eastAsia="仿宋_GB2312"/>
          <w:bCs/>
          <w:color w:val="auto"/>
          <w:kern w:val="0"/>
          <w:sz w:val="32"/>
          <w:szCs w:val="28"/>
          <w:lang w:eastAsia="zh-CN"/>
        </w:rPr>
        <w:t>；目前选定“妇女宣传思想政治引领”项目开展成本预算绩效分析工作，正在组织实施中；计划于2024年7月</w:t>
      </w:r>
      <w:r>
        <w:rPr>
          <w:rFonts w:hint="eastAsia" w:ascii="仿宋_GB2312" w:hAnsi="楷体" w:eastAsia="仿宋_GB2312"/>
          <w:bCs/>
          <w:color w:val="auto"/>
          <w:kern w:val="0"/>
          <w:sz w:val="32"/>
          <w:szCs w:val="28"/>
          <w:lang w:val="en-US" w:eastAsia="zh-CN"/>
        </w:rPr>
        <w:t>开始</w:t>
      </w:r>
      <w:r>
        <w:rPr>
          <w:rFonts w:hint="eastAsia" w:ascii="仿宋_GB2312" w:hAnsi="楷体" w:eastAsia="仿宋_GB2312"/>
          <w:bCs/>
          <w:color w:val="auto"/>
          <w:kern w:val="0"/>
          <w:sz w:val="32"/>
          <w:szCs w:val="28"/>
          <w:lang w:eastAsia="zh-CN"/>
        </w:rPr>
        <w:t>对2024年度上半年项目的预算执行和绩效目标实现程度开展绩效运行监控工作</w:t>
      </w:r>
      <w:r>
        <w:rPr>
          <w:rFonts w:hint="eastAsia" w:ascii="仿宋_GB2312" w:hAnsi="楷体" w:eastAsia="仿宋_GB2312"/>
          <w:bCs/>
          <w:color w:val="auto"/>
          <w:kern w:val="0"/>
          <w:sz w:val="32"/>
          <w:szCs w:val="28"/>
        </w:rPr>
        <w:t>。从总体评价结果来看，各项目能够较好地按照预算</w:t>
      </w:r>
      <w:r>
        <w:rPr>
          <w:rFonts w:hint="eastAsia" w:ascii="仿宋_GB2312" w:hAnsi="楷体" w:eastAsia="仿宋_GB2312"/>
          <w:bCs/>
          <w:color w:val="auto"/>
          <w:kern w:val="0"/>
          <w:sz w:val="32"/>
          <w:szCs w:val="28"/>
          <w:lang w:val="en-US" w:eastAsia="zh-CN"/>
        </w:rPr>
        <w:t>编制要求</w:t>
      </w:r>
      <w:r>
        <w:rPr>
          <w:rFonts w:hint="eastAsia" w:ascii="仿宋_GB2312" w:hAnsi="楷体" w:eastAsia="仿宋_GB2312"/>
          <w:bCs/>
          <w:color w:val="auto"/>
          <w:kern w:val="0"/>
          <w:sz w:val="32"/>
          <w:szCs w:val="28"/>
        </w:rPr>
        <w:t>完成，绩效目标及指标的完成情况较好，项目执行过程</w:t>
      </w:r>
      <w:r>
        <w:rPr>
          <w:rFonts w:hint="eastAsia" w:ascii="仿宋_GB2312" w:hAnsi="楷体" w:eastAsia="仿宋_GB2312"/>
          <w:bCs/>
          <w:color w:val="auto"/>
          <w:kern w:val="0"/>
          <w:sz w:val="32"/>
          <w:szCs w:val="28"/>
          <w:lang w:val="en-US" w:eastAsia="zh-CN"/>
        </w:rPr>
        <w:t>较为</w:t>
      </w:r>
      <w:r>
        <w:rPr>
          <w:rFonts w:hint="eastAsia" w:ascii="仿宋_GB2312" w:hAnsi="楷体" w:eastAsia="仿宋_GB2312"/>
          <w:bCs/>
          <w:color w:val="auto"/>
          <w:kern w:val="0"/>
          <w:sz w:val="32"/>
          <w:szCs w:val="28"/>
        </w:rPr>
        <w:t>规范。</w:t>
      </w:r>
    </w:p>
    <w:p>
      <w:pPr>
        <w:spacing w:line="600" w:lineRule="exact"/>
        <w:ind w:firstLine="643" w:firstLineChars="200"/>
        <w:outlineLvl w:val="1"/>
        <w:rPr>
          <w:rFonts w:ascii="楷体" w:hAnsi="楷体" w:eastAsia="楷体"/>
          <w:b/>
          <w:bCs/>
          <w:color w:val="auto"/>
          <w:sz w:val="32"/>
          <w:szCs w:val="32"/>
        </w:rPr>
      </w:pPr>
      <w:bookmarkStart w:id="26" w:name="_Toc32608"/>
      <w:r>
        <w:rPr>
          <w:rFonts w:hint="eastAsia" w:ascii="楷体" w:hAnsi="楷体" w:eastAsia="楷体"/>
          <w:b/>
          <w:bCs/>
          <w:color w:val="auto"/>
          <w:sz w:val="32"/>
          <w:szCs w:val="32"/>
        </w:rPr>
        <w:t>（四）结转结余率</w:t>
      </w:r>
      <w:bookmarkEnd w:id="26"/>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年全年预算数9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132.522386万元，结转结余333.861717万元，结转结余率为</w:t>
      </w:r>
      <w:r>
        <w:rPr>
          <w:rFonts w:hint="eastAsia" w:ascii="仿宋_GB2312" w:hAnsi="楷体" w:eastAsia="仿宋_GB2312"/>
          <w:bCs/>
          <w:color w:val="auto"/>
          <w:kern w:val="0"/>
          <w:sz w:val="32"/>
          <w:szCs w:val="28"/>
          <w:lang w:val="en-US" w:eastAsia="zh-CN"/>
        </w:rPr>
        <w:t>3.66</w:t>
      </w:r>
      <w:r>
        <w:rPr>
          <w:rFonts w:hint="eastAsia" w:ascii="仿宋_GB2312" w:hAnsi="楷体" w:eastAsia="仿宋_GB2312"/>
          <w:bCs/>
          <w:color w:val="auto"/>
          <w:kern w:val="0"/>
          <w:sz w:val="32"/>
          <w:szCs w:val="28"/>
        </w:rPr>
        <w:t>%，较上年结转结余率5.75%低</w:t>
      </w:r>
      <w:r>
        <w:rPr>
          <w:rFonts w:hint="eastAsia" w:ascii="仿宋_GB2312" w:hAnsi="楷体" w:eastAsia="仿宋_GB2312"/>
          <w:bCs/>
          <w:color w:val="auto"/>
          <w:kern w:val="0"/>
          <w:sz w:val="32"/>
          <w:szCs w:val="28"/>
          <w:lang w:val="en-US" w:eastAsia="zh-CN"/>
        </w:rPr>
        <w:t>2.09</w:t>
      </w:r>
      <w:r>
        <w:rPr>
          <w:rFonts w:hint="eastAsia" w:ascii="仿宋_GB2312" w:hAnsi="楷体" w:eastAsia="仿宋_GB2312"/>
          <w:bCs/>
          <w:color w:val="auto"/>
          <w:kern w:val="0"/>
          <w:sz w:val="32"/>
          <w:szCs w:val="28"/>
        </w:rPr>
        <w:t>%。</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年全部为财政拨款资金结转结余，其中基本经费结转314.424596万元，项目经费结转和结余19.437121万元。</w:t>
      </w:r>
    </w:p>
    <w:p>
      <w:pPr>
        <w:spacing w:line="600" w:lineRule="exact"/>
        <w:ind w:firstLine="643" w:firstLineChars="200"/>
        <w:outlineLvl w:val="1"/>
        <w:rPr>
          <w:rFonts w:ascii="楷体" w:hAnsi="楷体" w:eastAsia="楷体"/>
          <w:b/>
          <w:bCs/>
          <w:color w:val="auto"/>
          <w:sz w:val="32"/>
          <w:szCs w:val="32"/>
        </w:rPr>
      </w:pPr>
      <w:bookmarkStart w:id="27" w:name="_Toc30097"/>
      <w:r>
        <w:rPr>
          <w:rFonts w:hint="eastAsia" w:ascii="楷体" w:hAnsi="楷体" w:eastAsia="楷体"/>
          <w:b/>
          <w:bCs/>
          <w:color w:val="auto"/>
          <w:sz w:val="32"/>
          <w:szCs w:val="32"/>
        </w:rPr>
        <w:t>（五）部门</w:t>
      </w:r>
      <w:r>
        <w:rPr>
          <w:rFonts w:ascii="楷体" w:hAnsi="楷体" w:eastAsia="楷体"/>
          <w:b/>
          <w:bCs/>
          <w:color w:val="auto"/>
          <w:sz w:val="32"/>
          <w:szCs w:val="32"/>
        </w:rPr>
        <w:t>预决算差异率</w:t>
      </w:r>
      <w:bookmarkEnd w:id="27"/>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w:t>
      </w:r>
      <w:r>
        <w:rPr>
          <w:rFonts w:hint="eastAsia" w:ascii="仿宋_GB2312" w:hAnsi="仿宋_GB2312" w:eastAsia="仿宋_GB2312" w:cs="仿宋_GB2312"/>
          <w:color w:val="auto"/>
          <w:sz w:val="32"/>
          <w:szCs w:val="32"/>
        </w:rPr>
        <w:t>年初预算数</w:t>
      </w:r>
      <w:r>
        <w:rPr>
          <w:rFonts w:hint="eastAsia" w:ascii="仿宋_GB2312" w:hAnsi="楷体" w:eastAsia="仿宋_GB2312"/>
          <w:bCs/>
          <w:color w:val="auto"/>
          <w:kern w:val="0"/>
          <w:sz w:val="32"/>
          <w:szCs w:val="28"/>
        </w:rPr>
        <w:t>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401.479994万元，年度决算8</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798.660669万元，预决算差异率为</w:t>
      </w:r>
      <w:r>
        <w:rPr>
          <w:rFonts w:hint="eastAsia" w:ascii="仿宋_GB2312" w:hAnsi="楷体" w:eastAsia="仿宋_GB2312"/>
          <w:bCs/>
          <w:color w:val="auto"/>
          <w:kern w:val="0"/>
          <w:sz w:val="32"/>
          <w:szCs w:val="28"/>
          <w:lang w:val="en-US" w:eastAsia="zh-CN"/>
        </w:rPr>
        <w:t>6.41</w:t>
      </w:r>
      <w:r>
        <w:rPr>
          <w:rFonts w:hint="eastAsia" w:ascii="仿宋_GB2312" w:hAnsi="楷体" w:eastAsia="仿宋_GB2312"/>
          <w:bCs/>
          <w:color w:val="auto"/>
          <w:kern w:val="0"/>
          <w:sz w:val="32"/>
          <w:szCs w:val="28"/>
        </w:rPr>
        <w:t>%，低于市级平均差异率（28.30%）。部门预决算差异率控制情况较好。</w:t>
      </w:r>
    </w:p>
    <w:p>
      <w:pPr>
        <w:spacing w:line="600" w:lineRule="exact"/>
        <w:ind w:firstLine="640" w:firstLineChars="200"/>
        <w:outlineLvl w:val="0"/>
        <w:rPr>
          <w:rFonts w:ascii="黑体" w:hAnsi="黑体" w:eastAsia="黑体" w:cs="宋体"/>
          <w:color w:val="auto"/>
          <w:kern w:val="0"/>
          <w:sz w:val="32"/>
          <w:szCs w:val="32"/>
        </w:rPr>
      </w:pPr>
      <w:bookmarkStart w:id="28" w:name="_Toc21638"/>
      <w:r>
        <w:rPr>
          <w:rFonts w:hint="eastAsia" w:ascii="黑体" w:hAnsi="黑体" w:eastAsia="黑体" w:cs="宋体"/>
          <w:color w:val="auto"/>
          <w:kern w:val="0"/>
          <w:sz w:val="32"/>
          <w:szCs w:val="32"/>
        </w:rPr>
        <w:t>五、总体</w:t>
      </w:r>
      <w:r>
        <w:rPr>
          <w:rFonts w:ascii="黑体" w:hAnsi="黑体" w:eastAsia="黑体" w:cs="宋体"/>
          <w:color w:val="auto"/>
          <w:kern w:val="0"/>
          <w:sz w:val="32"/>
          <w:szCs w:val="32"/>
        </w:rPr>
        <w:t>评价结论</w:t>
      </w:r>
      <w:bookmarkEnd w:id="28"/>
    </w:p>
    <w:p>
      <w:pPr>
        <w:spacing w:line="600" w:lineRule="exact"/>
        <w:ind w:firstLine="643" w:firstLineChars="200"/>
        <w:outlineLvl w:val="1"/>
        <w:rPr>
          <w:rFonts w:ascii="楷体" w:hAnsi="楷体" w:eastAsia="楷体"/>
          <w:b/>
          <w:bCs/>
          <w:color w:val="auto"/>
          <w:sz w:val="32"/>
          <w:szCs w:val="32"/>
        </w:rPr>
      </w:pPr>
      <w:bookmarkStart w:id="29" w:name="_Toc6207"/>
      <w:r>
        <w:rPr>
          <w:rFonts w:hint="eastAsia" w:ascii="楷体" w:hAnsi="楷体" w:eastAsia="楷体"/>
          <w:b/>
          <w:bCs/>
          <w:color w:val="auto"/>
          <w:sz w:val="32"/>
          <w:szCs w:val="32"/>
        </w:rPr>
        <w:t>（一）评价</w:t>
      </w:r>
      <w:r>
        <w:rPr>
          <w:rFonts w:ascii="楷体" w:hAnsi="楷体" w:eastAsia="楷体"/>
          <w:b/>
          <w:bCs/>
          <w:color w:val="auto"/>
          <w:sz w:val="32"/>
          <w:szCs w:val="32"/>
        </w:rPr>
        <w:t>得分</w:t>
      </w:r>
      <w:r>
        <w:rPr>
          <w:rFonts w:hint="eastAsia" w:ascii="楷体" w:hAnsi="楷体" w:eastAsia="楷体"/>
          <w:b/>
          <w:bCs/>
          <w:color w:val="auto"/>
          <w:sz w:val="32"/>
          <w:szCs w:val="32"/>
        </w:rPr>
        <w:t>情况</w:t>
      </w:r>
      <w:bookmarkEnd w:id="29"/>
    </w:p>
    <w:p>
      <w:pPr>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经评价，市妇联202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年度部门整体支出绩效评价总得分8</w:t>
      </w:r>
      <w:r>
        <w:rPr>
          <w:rFonts w:hint="eastAsia" w:ascii="仿宋_GB2312" w:hAnsi="楷体" w:eastAsia="仿宋_GB2312"/>
          <w:bCs/>
          <w:color w:val="auto"/>
          <w:kern w:val="0"/>
          <w:sz w:val="32"/>
          <w:szCs w:val="28"/>
          <w:lang w:val="en-US" w:eastAsia="zh-CN"/>
        </w:rPr>
        <w:t>9</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86</w:t>
      </w:r>
      <w:r>
        <w:rPr>
          <w:rFonts w:hint="eastAsia" w:ascii="仿宋_GB2312" w:hAnsi="楷体" w:eastAsia="仿宋_GB2312"/>
          <w:bCs/>
          <w:color w:val="auto"/>
          <w:kern w:val="0"/>
          <w:sz w:val="32"/>
          <w:szCs w:val="28"/>
        </w:rPr>
        <w:t>分，评价结果为“良好”。其中当年预算执行情况得分1</w:t>
      </w:r>
      <w:r>
        <w:rPr>
          <w:rFonts w:hint="eastAsia" w:ascii="仿宋_GB2312" w:hAnsi="楷体" w:eastAsia="仿宋_GB2312"/>
          <w:bCs/>
          <w:color w:val="auto"/>
          <w:kern w:val="0"/>
          <w:sz w:val="32"/>
          <w:szCs w:val="28"/>
          <w:lang w:val="en-US" w:eastAsia="zh-CN"/>
        </w:rPr>
        <w:t>9.27</w:t>
      </w:r>
      <w:r>
        <w:rPr>
          <w:rFonts w:hint="eastAsia" w:ascii="仿宋_GB2312" w:hAnsi="楷体" w:eastAsia="仿宋_GB2312"/>
          <w:bCs/>
          <w:color w:val="auto"/>
          <w:kern w:val="0"/>
          <w:sz w:val="32"/>
          <w:szCs w:val="28"/>
        </w:rPr>
        <w:t>分；整体绩效目标实现情况得分</w:t>
      </w:r>
      <w:r>
        <w:rPr>
          <w:rFonts w:hint="eastAsia" w:ascii="仿宋_GB2312" w:hAnsi="楷体" w:eastAsia="仿宋_GB2312"/>
          <w:bCs/>
          <w:color w:val="auto"/>
          <w:kern w:val="0"/>
          <w:sz w:val="32"/>
          <w:szCs w:val="28"/>
          <w:lang w:val="en-US" w:eastAsia="zh-CN"/>
        </w:rPr>
        <w:t>52.83</w:t>
      </w:r>
      <w:r>
        <w:rPr>
          <w:rFonts w:hint="eastAsia" w:ascii="仿宋_GB2312" w:hAnsi="楷体" w:eastAsia="仿宋_GB2312"/>
          <w:bCs/>
          <w:color w:val="auto"/>
          <w:kern w:val="0"/>
          <w:sz w:val="32"/>
          <w:szCs w:val="28"/>
        </w:rPr>
        <w:t>分；预算管理情况得分17.</w:t>
      </w:r>
      <w:r>
        <w:rPr>
          <w:rFonts w:hint="eastAsia" w:ascii="仿宋_GB2312" w:hAnsi="楷体" w:eastAsia="仿宋_GB2312"/>
          <w:bCs/>
          <w:color w:val="auto"/>
          <w:kern w:val="0"/>
          <w:sz w:val="32"/>
          <w:szCs w:val="28"/>
          <w:lang w:val="en-US" w:eastAsia="zh-CN"/>
        </w:rPr>
        <w:t>76</w:t>
      </w:r>
      <w:r>
        <w:rPr>
          <w:rFonts w:hint="eastAsia" w:ascii="仿宋_GB2312" w:hAnsi="楷体" w:eastAsia="仿宋_GB2312"/>
          <w:bCs/>
          <w:color w:val="auto"/>
          <w:kern w:val="0"/>
          <w:sz w:val="32"/>
          <w:szCs w:val="28"/>
        </w:rPr>
        <w:t>分。</w:t>
      </w:r>
    </w:p>
    <w:p>
      <w:pPr>
        <w:spacing w:line="600" w:lineRule="exact"/>
        <w:ind w:firstLine="643" w:firstLineChars="200"/>
        <w:outlineLvl w:val="1"/>
        <w:rPr>
          <w:rFonts w:ascii="楷体" w:hAnsi="楷体" w:eastAsia="楷体"/>
          <w:b/>
          <w:bCs/>
          <w:color w:val="auto"/>
          <w:sz w:val="32"/>
          <w:szCs w:val="32"/>
        </w:rPr>
      </w:pPr>
      <w:bookmarkStart w:id="30" w:name="_Toc31670"/>
      <w:r>
        <w:rPr>
          <w:rFonts w:hint="eastAsia" w:ascii="楷体" w:hAnsi="楷体" w:eastAsia="楷体"/>
          <w:b/>
          <w:bCs/>
          <w:color w:val="auto"/>
          <w:sz w:val="32"/>
          <w:szCs w:val="32"/>
        </w:rPr>
        <w:t>（二）存在的问题</w:t>
      </w:r>
      <w:bookmarkEnd w:id="30"/>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1.部门整体绩效目标和绩效指标设置不够细化，绩效目标设置与部门职责、重点工作任务、年度预算安排不够紧密；绩效目标和各项产出指标对应性不强，绩效指标中设置了数量指标、质量指标、社会效益指标和满意度指标，但指标内容设置不够细化，可衡量性不足。</w:t>
      </w:r>
    </w:p>
    <w:p>
      <w:pPr>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2.部分项目涉及子项目较多，且子项目间存在交叉，缺乏项目整体的统筹规划，对项目整体方案的统筹存在不足，项目需求调研方面还需加强，科学合理性还有待提高。部分延续性项目存在思维惯性和路径依赖，在前瞻性、创新性上体现不足。</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3.部门整体和项目预算编制精准度不足，测算依据不够充分，没有制定充分的资金分配原则，部分项目在预算执行过程中涉及调整较多，项目工作任务和预算需求匹配性有待加强，预算控制意识还需提高。</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4.项目实施涉及购买服务事项较多，虽有</w:t>
      </w:r>
      <w:r>
        <w:rPr>
          <w:rFonts w:hint="eastAsia" w:ascii="仿宋_GB2312" w:hAnsi="楷体" w:eastAsia="仿宋_GB2312"/>
          <w:bCs/>
          <w:color w:val="auto"/>
          <w:kern w:val="0"/>
          <w:sz w:val="32"/>
          <w:szCs w:val="28"/>
        </w:rPr>
        <w:t>《北京市妇女联合会购买社会组织服务项目实施细则（试行）》</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但未针对购买服务制定相关管理办法，政府购买服务管理有待规范。此外，对委托服务过程的指导和监督材料留痕还有所欠缺。</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5.管理制度存在缺失。一是未单独制定预算绩效管理实施细则，预算绩效管理有待进一步完善。在《北京市妇女联合会预算管理办法》中第七章对“预算绩效管理”进行了规定，明确了绩效评价工作由办公室财务</w:t>
      </w:r>
      <w:bookmarkStart w:id="33" w:name="_GoBack"/>
      <w:bookmarkEnd w:id="33"/>
      <w:r>
        <w:rPr>
          <w:rFonts w:hint="eastAsia" w:ascii="仿宋_GB2312" w:hAnsi="楷体" w:eastAsia="仿宋_GB2312"/>
          <w:bCs/>
          <w:color w:val="auto"/>
          <w:kern w:val="0"/>
          <w:sz w:val="32"/>
          <w:szCs w:val="28"/>
          <w:lang w:val="en-US" w:eastAsia="zh-CN"/>
        </w:rPr>
        <w:t>牵头，但没有明确部门整体绩效管理的具体的职责分工、管理措施和操作流程，未见事前评估、绩效运行监控、纠偏措施等内容。二是部分项目涉及大型活动和对外宣传工作，未见关于应急预案和舆情管理相关方面的管理制度。</w:t>
      </w:r>
    </w:p>
    <w:p>
      <w:pPr>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6.固定资产管理有待进一步规范。资产动态库导出资产清单显示部分资产的使用部门、使用人、管理部门、管理人为临时部门、临时人员或为空值。进行了资产盘点，但未见盘点分析报告，不能有效呈现资产盘点情况。</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7.项目效果资料的归集不充分，对项目实施呈现效果、产生影响的分析和挖掘有待加强。项目开展满意度调查方式比较单一，部分项目受益群体不明确，满意度调查问卷设计调查内容针对性不足，部分项目调查样本数量不足，影响调查结果的精确度，不能有效地反映项目实施的满意程度。</w:t>
      </w:r>
    </w:p>
    <w:p>
      <w:pPr>
        <w:spacing w:line="600" w:lineRule="exact"/>
        <w:ind w:firstLine="640" w:firstLineChars="200"/>
        <w:outlineLvl w:val="0"/>
        <w:rPr>
          <w:rFonts w:ascii="黑体" w:hAnsi="黑体" w:eastAsia="黑体" w:cs="宋体"/>
          <w:color w:val="auto"/>
          <w:kern w:val="0"/>
          <w:sz w:val="32"/>
          <w:szCs w:val="32"/>
        </w:rPr>
      </w:pPr>
      <w:bookmarkStart w:id="31" w:name="_Toc5142"/>
      <w:r>
        <w:rPr>
          <w:rFonts w:hint="eastAsia" w:ascii="黑体" w:hAnsi="黑体" w:eastAsia="黑体" w:cs="宋体"/>
          <w:color w:val="auto"/>
          <w:kern w:val="0"/>
          <w:sz w:val="32"/>
          <w:szCs w:val="32"/>
        </w:rPr>
        <w:t>六、措施建议</w:t>
      </w:r>
      <w:bookmarkEnd w:id="31"/>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1.根据单位职责、年度重点工作合理设置部门整体绩效目标和绩效指标，各项产出和效益指标需对应整体绩效目标进行设置，提高指标细化、量化程度，提升指标的可考核性。加强对预算绩效管理的重视和理解，对相关人员对预算绩效全流程的培训指导，增强绩效管理意识。</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2.强化统筹和梳理各部门重点工作及项目预算的实质性内容，加强不同项目共同事项的统筹管理，避免项目内容存在交叉，边界不清晰。重视完善项目整体实施方案，明确项目管理主体责任和监管责任，厘清项目中子项目间的关系，发挥整体方案的指导作用，准确制定项目实施计划和保障措施，保证项目有序开展。对于延续性项目可以从项目的各方面进行横纵对比分析，说明项目开展的可持续性，加强项目开展的前期论证，适度创新，体现项目的突破性、创新性。</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3.加强项目预算管理，提高预算编制的细化程度和精准性，提高资金使用的合理性，增强预算编制的科学性，建立零基预算机制，以提高财政资金的使用效益，提高预算管理刚性约束。</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4.进一步建立健全项目管理制度、政府购买服务管理制度和预算绩效管理制度，加强项目过程管理控制，促进工作有效实施。</w:t>
      </w:r>
    </w:p>
    <w:p>
      <w:pPr>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5.进一步加强资产管理制度的落实，及时更新资产信息，保证账实相符。根据</w:t>
      </w:r>
      <w:r>
        <w:rPr>
          <w:rFonts w:hint="eastAsia" w:ascii="仿宋_GB2312" w:hAnsi="楷体" w:eastAsia="仿宋_GB2312"/>
          <w:bCs/>
          <w:color w:val="auto"/>
          <w:kern w:val="0"/>
          <w:sz w:val="32"/>
          <w:szCs w:val="28"/>
        </w:rPr>
        <w:t>《北京市妇女联合会</w:t>
      </w:r>
      <w:r>
        <w:rPr>
          <w:rFonts w:hint="eastAsia" w:ascii="仿宋_GB2312" w:hAnsi="楷体" w:eastAsia="仿宋_GB2312"/>
          <w:bCs/>
          <w:color w:val="auto"/>
          <w:kern w:val="0"/>
          <w:sz w:val="32"/>
          <w:szCs w:val="28"/>
          <w:lang w:val="en-US" w:eastAsia="zh-CN"/>
        </w:rPr>
        <w:t>国有</w:t>
      </w:r>
      <w:r>
        <w:rPr>
          <w:rFonts w:hint="eastAsia" w:ascii="仿宋_GB2312" w:hAnsi="楷体" w:eastAsia="仿宋_GB2312"/>
          <w:bCs/>
          <w:color w:val="auto"/>
          <w:kern w:val="0"/>
          <w:sz w:val="32"/>
          <w:szCs w:val="28"/>
        </w:rPr>
        <w:t>资产管理办法》</w:t>
      </w:r>
      <w:r>
        <w:rPr>
          <w:rFonts w:hint="eastAsia" w:ascii="仿宋_GB2312" w:hAnsi="楷体" w:eastAsia="仿宋_GB2312"/>
          <w:bCs/>
          <w:color w:val="auto"/>
          <w:kern w:val="0"/>
          <w:sz w:val="32"/>
          <w:szCs w:val="28"/>
          <w:lang w:val="en-US" w:eastAsia="zh-CN"/>
        </w:rPr>
        <w:t>第六章 第四十条中“（六）撰写资产盘点报告。现场盘点工作结束后，根据盘点情况撰写资产盘点情况报告，上报办公室负责人审核、主管领导审批”的规定，编制资产盘点报告，清晰反映资产盘点的结果，提高单位资产管理效能。</w:t>
      </w:r>
    </w:p>
    <w:p>
      <w:pPr>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6.加强项目效益、效果资料的归集整理，注重绩效产出证明材料的充分性和完整性，对应产出体现相应的效果资料。注重服务对象满意度调查的前期设计，合理确定满意度调查对象范围，充分体现服务对象满意程度。</w:t>
      </w:r>
    </w:p>
    <w:p>
      <w:pPr>
        <w:spacing w:line="600" w:lineRule="exact"/>
        <w:ind w:firstLine="640" w:firstLineChars="200"/>
        <w:outlineLvl w:val="0"/>
        <w:rPr>
          <w:rFonts w:ascii="黑体" w:hAnsi="黑体" w:eastAsia="黑体" w:cs="宋体"/>
          <w:color w:val="auto"/>
          <w:kern w:val="0"/>
          <w:sz w:val="32"/>
          <w:szCs w:val="32"/>
        </w:rPr>
      </w:pPr>
      <w:bookmarkStart w:id="32" w:name="_Toc22172"/>
      <w:r>
        <w:rPr>
          <w:rFonts w:hint="eastAsia" w:ascii="黑体" w:hAnsi="黑体" w:eastAsia="黑体" w:cs="宋体"/>
          <w:color w:val="auto"/>
          <w:kern w:val="0"/>
          <w:sz w:val="32"/>
          <w:szCs w:val="32"/>
        </w:rPr>
        <w:t>七、附件</w:t>
      </w:r>
      <w:bookmarkEnd w:id="32"/>
    </w:p>
    <w:p>
      <w:pPr>
        <w:ind w:firstLine="640" w:firstLineChars="200"/>
        <w:rPr>
          <w:rFonts w:ascii="方正小标宋简体" w:hAnsi="黑体" w:eastAsia="方正小标宋简体" w:cs="宋体"/>
          <w:color w:val="auto"/>
          <w:kern w:val="0"/>
          <w:sz w:val="44"/>
          <w:szCs w:val="44"/>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年部门整体绩效评价指标体系评分表</w:t>
      </w:r>
    </w:p>
    <w:p>
      <w:pPr>
        <w:pStyle w:val="7"/>
        <w:rPr>
          <w:color w:val="auto"/>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p>
    <w:p>
      <w:pPr>
        <w:spacing w:line="20" w:lineRule="exact"/>
        <w:ind w:left="-21" w:leftChars="-10" w:right="42" w:rightChars="20"/>
        <w:rPr>
          <w:color w:val="auto"/>
        </w:rPr>
      </w:pPr>
    </w:p>
    <w:p>
      <w:pPr>
        <w:rPr>
          <w:rFonts w:ascii="黑体" w:hAnsi="黑体" w:eastAsia="黑体"/>
          <w:color w:val="auto"/>
          <w:sz w:val="32"/>
          <w:szCs w:val="32"/>
        </w:rPr>
      </w:pPr>
      <w:r>
        <w:rPr>
          <w:rFonts w:hint="eastAsia" w:ascii="黑体" w:hAnsi="黑体" w:eastAsia="黑体"/>
          <w:color w:val="auto"/>
          <w:sz w:val="32"/>
          <w:szCs w:val="32"/>
        </w:rPr>
        <w:t>附件</w:t>
      </w:r>
    </w:p>
    <w:p>
      <w:pPr>
        <w:spacing w:line="600" w:lineRule="exact"/>
        <w:jc w:val="center"/>
        <w:rPr>
          <w:rFonts w:ascii="仿宋_GB2312" w:hAnsi="宋体" w:eastAsia="仿宋_GB2312" w:cs="宋体"/>
          <w:color w:val="auto"/>
          <w:kern w:val="0"/>
          <w:sz w:val="32"/>
          <w:szCs w:val="32"/>
        </w:rPr>
      </w:pPr>
      <w:r>
        <w:rPr>
          <w:rFonts w:hint="eastAsia" w:ascii="方正小标宋简体" w:hAnsi="黑体" w:eastAsia="方正小标宋简体" w:cs="宋体"/>
          <w:color w:val="auto"/>
          <w:kern w:val="0"/>
          <w:sz w:val="44"/>
          <w:szCs w:val="44"/>
        </w:rPr>
        <w:t>202</w:t>
      </w:r>
      <w:r>
        <w:rPr>
          <w:rFonts w:hint="eastAsia" w:ascii="方正小标宋简体" w:hAnsi="黑体" w:eastAsia="方正小标宋简体" w:cs="宋体"/>
          <w:color w:val="auto"/>
          <w:kern w:val="0"/>
          <w:sz w:val="44"/>
          <w:szCs w:val="44"/>
          <w:lang w:val="en-US" w:eastAsia="zh-CN"/>
        </w:rPr>
        <w:t>3</w:t>
      </w:r>
      <w:r>
        <w:rPr>
          <w:rFonts w:hint="eastAsia" w:ascii="方正小标宋简体" w:hAnsi="黑体" w:eastAsia="方正小标宋简体" w:cs="宋体"/>
          <w:color w:val="auto"/>
          <w:kern w:val="0"/>
          <w:sz w:val="44"/>
          <w:szCs w:val="44"/>
        </w:rPr>
        <w:t>年部门整体绩效评价指标体系评分表</w:t>
      </w:r>
    </w:p>
    <w:tbl>
      <w:tblPr>
        <w:tblStyle w:val="17"/>
        <w:tblW w:w="14526" w:type="dxa"/>
        <w:tblInd w:w="0" w:type="dxa"/>
        <w:tblLayout w:type="fixed"/>
        <w:tblCellMar>
          <w:top w:w="0" w:type="dxa"/>
          <w:left w:w="108" w:type="dxa"/>
          <w:bottom w:w="0" w:type="dxa"/>
          <w:right w:w="108" w:type="dxa"/>
        </w:tblCellMar>
      </w:tblPr>
      <w:tblGrid>
        <w:gridCol w:w="957"/>
        <w:gridCol w:w="98"/>
        <w:gridCol w:w="740"/>
        <w:gridCol w:w="7"/>
        <w:gridCol w:w="482"/>
        <w:gridCol w:w="369"/>
        <w:gridCol w:w="11"/>
        <w:gridCol w:w="1162"/>
        <w:gridCol w:w="158"/>
        <w:gridCol w:w="1364"/>
        <w:gridCol w:w="36"/>
        <w:gridCol w:w="864"/>
        <w:gridCol w:w="293"/>
        <w:gridCol w:w="639"/>
        <w:gridCol w:w="338"/>
        <w:gridCol w:w="653"/>
        <w:gridCol w:w="398"/>
        <w:gridCol w:w="311"/>
        <w:gridCol w:w="721"/>
        <w:gridCol w:w="1411"/>
        <w:gridCol w:w="235"/>
        <w:gridCol w:w="1471"/>
        <w:gridCol w:w="4"/>
        <w:gridCol w:w="16"/>
        <w:gridCol w:w="1788"/>
      </w:tblGrid>
      <w:tr>
        <w:tblPrEx>
          <w:tblCellMar>
            <w:top w:w="0" w:type="dxa"/>
            <w:left w:w="108" w:type="dxa"/>
            <w:bottom w:w="0" w:type="dxa"/>
            <w:right w:w="108" w:type="dxa"/>
          </w:tblCellMar>
        </w:tblPrEx>
        <w:trPr>
          <w:trHeight w:val="470" w:hRule="atLeast"/>
        </w:trPr>
        <w:tc>
          <w:tcPr>
            <w:tcW w:w="14526" w:type="dxa"/>
            <w:gridSpan w:val="25"/>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一、</w:t>
            </w:r>
            <w:r>
              <w:rPr>
                <w:rFonts w:hint="eastAsia" w:ascii="宋体" w:hAnsi="宋体" w:cs="宋体"/>
                <w:b/>
                <w:bCs/>
                <w:color w:val="auto"/>
                <w:kern w:val="0"/>
                <w:sz w:val="20"/>
                <w:szCs w:val="20"/>
              </w:rPr>
              <w:t>当年预算执行情况（20分）</w:t>
            </w:r>
          </w:p>
        </w:tc>
      </w:tr>
      <w:tr>
        <w:tblPrEx>
          <w:tblCellMar>
            <w:top w:w="0" w:type="dxa"/>
            <w:left w:w="108" w:type="dxa"/>
            <w:bottom w:w="0" w:type="dxa"/>
            <w:right w:w="108" w:type="dxa"/>
          </w:tblCellMar>
        </w:tblPrEx>
        <w:trPr>
          <w:trHeight w:val="660" w:hRule="atLeast"/>
        </w:trPr>
        <w:tc>
          <w:tcPr>
            <w:tcW w:w="1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w:t>
            </w:r>
            <w:r>
              <w:rPr>
                <w:rFonts w:ascii="宋体" w:hAnsi="宋体" w:cs="宋体"/>
                <w:b/>
                <w:bCs/>
                <w:color w:val="auto"/>
                <w:kern w:val="0"/>
                <w:sz w:val="20"/>
                <w:szCs w:val="20"/>
              </w:rPr>
              <w:t>级指标</w:t>
            </w:r>
            <w:r>
              <w:rPr>
                <w:rFonts w:hint="eastAsia" w:ascii="宋体" w:hAnsi="宋体" w:cs="宋体"/>
                <w:b/>
                <w:bCs/>
                <w:color w:val="auto"/>
                <w:kern w:val="0"/>
                <w:sz w:val="20"/>
                <w:szCs w:val="20"/>
              </w:rPr>
              <w:t>　</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w:t>
            </w:r>
            <w:r>
              <w:rPr>
                <w:rFonts w:ascii="宋体" w:hAnsi="宋体" w:cs="宋体"/>
                <w:b/>
                <w:bCs/>
                <w:color w:val="auto"/>
                <w:kern w:val="0"/>
                <w:sz w:val="20"/>
                <w:szCs w:val="20"/>
              </w:rPr>
              <w:t>级指标</w:t>
            </w:r>
            <w:r>
              <w:rPr>
                <w:rFonts w:hint="eastAsia" w:ascii="宋体" w:hAnsi="宋体" w:cs="宋体"/>
                <w:b/>
                <w:bCs/>
                <w:color w:val="auto"/>
                <w:kern w:val="0"/>
                <w:sz w:val="20"/>
                <w:szCs w:val="20"/>
              </w:rPr>
              <w:t>　</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预算数（万元）</w:t>
            </w:r>
          </w:p>
        </w:tc>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执行数（万元）</w:t>
            </w:r>
          </w:p>
        </w:tc>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预算执行率</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得分</w:t>
            </w:r>
          </w:p>
        </w:tc>
        <w:tc>
          <w:tcPr>
            <w:tcW w:w="267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指标解释</w:t>
            </w:r>
          </w:p>
        </w:tc>
        <w:tc>
          <w:tcPr>
            <w:tcW w:w="327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评分标准</w:t>
            </w:r>
          </w:p>
        </w:tc>
      </w:tr>
      <w:tr>
        <w:tblPrEx>
          <w:tblCellMar>
            <w:top w:w="0" w:type="dxa"/>
            <w:left w:w="108" w:type="dxa"/>
            <w:bottom w:w="0" w:type="dxa"/>
            <w:right w:w="108" w:type="dxa"/>
          </w:tblCellMar>
        </w:tblPrEx>
        <w:trPr>
          <w:trHeight w:val="1361" w:hRule="atLeast"/>
        </w:trPr>
        <w:tc>
          <w:tcPr>
            <w:tcW w:w="105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当年预算执行情况（20）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资金总体</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9,132.522386</w:t>
            </w:r>
          </w:p>
        </w:tc>
        <w:tc>
          <w:tcPr>
            <w:tcW w:w="15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8,798.660669</w:t>
            </w:r>
          </w:p>
        </w:tc>
        <w:tc>
          <w:tcPr>
            <w:tcW w:w="11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96.34%</w:t>
            </w:r>
          </w:p>
        </w:tc>
        <w:tc>
          <w:tcPr>
            <w:tcW w:w="97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10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9.27</w:t>
            </w:r>
          </w:p>
        </w:tc>
        <w:tc>
          <w:tcPr>
            <w:tcW w:w="267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部门全年执行数与全年预算数的比率。资金总体=基本支出+项目支出+其他</w:t>
            </w:r>
          </w:p>
        </w:tc>
        <w:tc>
          <w:tcPr>
            <w:tcW w:w="3279" w:type="dxa"/>
            <w:gridSpan w:val="4"/>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①得分一档最高不能超过该指标分值上限（20分）。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300%（含200%）区间，则按照该指标分值的10%扣分；计算结果在300%</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500%（含300%）区间，则按照该指标分值的20%扣分；计算结果高于500%（含500%），则按照该指标分值的30%扣分。</w:t>
            </w:r>
          </w:p>
        </w:tc>
      </w:tr>
      <w:tr>
        <w:tblPrEx>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229"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基本支出</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6,310.654583</w:t>
            </w:r>
          </w:p>
        </w:tc>
        <w:tc>
          <w:tcPr>
            <w:tcW w:w="155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5,996.229987</w:t>
            </w: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w:t>
            </w: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051" w:type="dxa"/>
            <w:gridSpan w:val="2"/>
            <w:vMerge w:val="continue"/>
            <w:tcBorders>
              <w:top w:val="single" w:color="auto" w:sz="4" w:space="0"/>
              <w:left w:val="nil"/>
              <w:bottom w:val="single" w:color="auto" w:sz="4" w:space="0"/>
              <w:right w:val="nil"/>
            </w:tcBorders>
            <w:vAlign w:val="center"/>
          </w:tcPr>
          <w:p>
            <w:pPr>
              <w:widowControl/>
              <w:jc w:val="left"/>
              <w:rPr>
                <w:rFonts w:ascii="宋体" w:hAnsi="宋体" w:cs="宋体"/>
                <w:color w:val="auto"/>
                <w:kern w:val="0"/>
                <w:sz w:val="20"/>
                <w:szCs w:val="20"/>
              </w:rPr>
            </w:pPr>
          </w:p>
        </w:tc>
        <w:tc>
          <w:tcPr>
            <w:tcW w:w="26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7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229"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项目支出</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2,821.867803</w:t>
            </w:r>
          </w:p>
        </w:tc>
        <w:tc>
          <w:tcPr>
            <w:tcW w:w="155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2,802.430682</w:t>
            </w: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051" w:type="dxa"/>
            <w:gridSpan w:val="2"/>
            <w:vMerge w:val="continue"/>
            <w:tcBorders>
              <w:top w:val="single" w:color="auto" w:sz="4" w:space="0"/>
              <w:left w:val="nil"/>
              <w:bottom w:val="single" w:color="auto" w:sz="4" w:space="0"/>
              <w:right w:val="nil"/>
            </w:tcBorders>
            <w:vAlign w:val="center"/>
          </w:tcPr>
          <w:p>
            <w:pPr>
              <w:widowControl/>
              <w:jc w:val="left"/>
              <w:rPr>
                <w:rFonts w:ascii="宋体" w:hAnsi="宋体" w:cs="宋体"/>
                <w:color w:val="auto"/>
                <w:kern w:val="0"/>
                <w:sz w:val="20"/>
                <w:szCs w:val="20"/>
              </w:rPr>
            </w:pPr>
          </w:p>
        </w:tc>
        <w:tc>
          <w:tcPr>
            <w:tcW w:w="26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7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其他</w:t>
            </w:r>
          </w:p>
        </w:tc>
        <w:tc>
          <w:tcPr>
            <w:tcW w:w="154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0.00</w:t>
            </w:r>
          </w:p>
        </w:tc>
        <w:tc>
          <w:tcPr>
            <w:tcW w:w="15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0.00</w:t>
            </w: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051" w:type="dxa"/>
            <w:gridSpan w:val="2"/>
            <w:vMerge w:val="continue"/>
            <w:tcBorders>
              <w:top w:val="single" w:color="auto" w:sz="4" w:space="0"/>
              <w:left w:val="nil"/>
              <w:bottom w:val="single" w:color="auto" w:sz="4" w:space="0"/>
              <w:right w:val="nil"/>
            </w:tcBorders>
            <w:vAlign w:val="center"/>
          </w:tcPr>
          <w:p>
            <w:pPr>
              <w:widowControl/>
              <w:jc w:val="left"/>
              <w:rPr>
                <w:rFonts w:ascii="宋体" w:hAnsi="宋体" w:cs="宋体"/>
                <w:color w:val="auto"/>
                <w:kern w:val="0"/>
                <w:sz w:val="20"/>
                <w:szCs w:val="20"/>
              </w:rPr>
            </w:pPr>
          </w:p>
        </w:tc>
        <w:tc>
          <w:tcPr>
            <w:tcW w:w="26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7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9" w:hRule="atLeast"/>
        </w:trPr>
        <w:tc>
          <w:tcPr>
            <w:tcW w:w="14526" w:type="dxa"/>
            <w:gridSpan w:val="2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二</w:t>
            </w:r>
            <w:r>
              <w:rPr>
                <w:rFonts w:ascii="宋体" w:hAnsi="宋体" w:cs="宋体"/>
                <w:b/>
                <w:bCs/>
                <w:color w:val="auto"/>
                <w:kern w:val="0"/>
                <w:sz w:val="18"/>
                <w:szCs w:val="18"/>
              </w:rPr>
              <w:t>、</w:t>
            </w:r>
            <w:r>
              <w:rPr>
                <w:rFonts w:hint="eastAsia" w:ascii="宋体" w:hAnsi="宋体" w:cs="宋体"/>
                <w:b/>
                <w:bCs/>
                <w:color w:val="auto"/>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p>
        </w:tc>
        <w:tc>
          <w:tcPr>
            <w:tcW w:w="84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r>
              <w:rPr>
                <w:rFonts w:hint="eastAsia" w:ascii="宋体" w:hAnsi="宋体" w:cs="宋体"/>
                <w:b/>
                <w:bCs/>
                <w:color w:val="auto"/>
                <w:kern w:val="0"/>
                <w:sz w:val="20"/>
                <w:szCs w:val="20"/>
              </w:rPr>
              <w:t>　</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r>
              <w:rPr>
                <w:rFonts w:hint="eastAsia" w:ascii="宋体" w:hAnsi="宋体" w:cs="宋体"/>
                <w:b/>
                <w:bCs/>
                <w:color w:val="auto"/>
                <w:kern w:val="0"/>
                <w:sz w:val="20"/>
                <w:szCs w:val="20"/>
              </w:rPr>
              <w:t>　</w:t>
            </w: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指标值</w:t>
            </w:r>
          </w:p>
        </w:tc>
        <w:tc>
          <w:tcPr>
            <w:tcW w:w="282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完成值</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c>
          <w:tcPr>
            <w:tcW w:w="721" w:type="dxa"/>
            <w:tcBorders>
              <w:top w:val="single" w:color="auto" w:sz="4" w:space="0"/>
              <w:left w:val="nil"/>
              <w:bottom w:val="single" w:color="auto" w:sz="4" w:space="0"/>
              <w:right w:val="nil"/>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得分</w:t>
            </w:r>
          </w:p>
        </w:tc>
        <w:tc>
          <w:tcPr>
            <w:tcW w:w="313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w:t>
            </w:r>
            <w:r>
              <w:rPr>
                <w:rFonts w:ascii="宋体" w:hAnsi="宋体" w:cs="宋体"/>
                <w:b/>
                <w:bCs/>
                <w:color w:val="auto"/>
                <w:kern w:val="0"/>
                <w:sz w:val="18"/>
                <w:szCs w:val="18"/>
              </w:rPr>
              <w:t>解释</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w:t>
            </w:r>
            <w:r>
              <w:rPr>
                <w:rFonts w:ascii="宋体" w:hAnsi="宋体" w:cs="宋体"/>
                <w:b/>
                <w:bCs/>
                <w:color w:val="auto"/>
                <w:kern w:val="0"/>
                <w:sz w:val="18"/>
                <w:szCs w:val="18"/>
              </w:rPr>
              <w:t>分标准</w:t>
            </w:r>
          </w:p>
        </w:tc>
      </w:tr>
      <w:tr>
        <w:tblPrEx>
          <w:tblCellMar>
            <w:top w:w="0" w:type="dxa"/>
            <w:left w:w="108" w:type="dxa"/>
            <w:bottom w:w="0" w:type="dxa"/>
            <w:right w:w="108" w:type="dxa"/>
          </w:tblCellMar>
        </w:tblPrEx>
        <w:trPr>
          <w:trHeight w:val="451"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整体绩效目标实现情况</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（60）</w:t>
            </w:r>
          </w:p>
        </w:tc>
        <w:tc>
          <w:tcPr>
            <w:tcW w:w="8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p>
          <w:p>
            <w:pPr>
              <w:jc w:val="center"/>
              <w:rPr>
                <w:rFonts w:ascii="宋体" w:hAnsi="宋体" w:cs="宋体"/>
                <w:color w:val="auto"/>
                <w:kern w:val="0"/>
                <w:sz w:val="20"/>
                <w:szCs w:val="20"/>
              </w:rPr>
            </w:pPr>
            <w:r>
              <w:rPr>
                <w:rFonts w:hint="eastAsia" w:ascii="宋体" w:hAnsi="宋体" w:cs="宋体"/>
                <w:color w:val="auto"/>
                <w:kern w:val="0"/>
                <w:sz w:val="20"/>
                <w:szCs w:val="20"/>
              </w:rPr>
              <w:t>产出</w:t>
            </w:r>
          </w:p>
          <w:p>
            <w:pPr>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851" w:type="dxa"/>
            <w:gridSpan w:val="2"/>
            <w:vMerge w:val="restart"/>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数量</w:t>
            </w:r>
          </w:p>
          <w:p>
            <w:pPr>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全年开展项目数量26个</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26个</w:t>
            </w: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4.83</w:t>
            </w:r>
          </w:p>
        </w:tc>
        <w:tc>
          <w:tcPr>
            <w:tcW w:w="3137"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产出数量</w:t>
            </w:r>
            <w:r>
              <w:rPr>
                <w:rFonts w:hint="eastAsia" w:ascii="宋体" w:hAnsi="宋体" w:cs="宋体"/>
                <w:color w:val="auto"/>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auto"/>
                <w:kern w:val="0"/>
                <w:sz w:val="18"/>
                <w:szCs w:val="18"/>
              </w:rPr>
              <w:t>产出质量</w:t>
            </w:r>
            <w:r>
              <w:rPr>
                <w:rFonts w:hint="eastAsia" w:ascii="宋体" w:hAnsi="宋体" w:cs="宋体"/>
                <w:color w:val="auto"/>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auto"/>
                <w:kern w:val="0"/>
                <w:sz w:val="18"/>
                <w:szCs w:val="18"/>
              </w:rPr>
              <w:t>产出进度：</w:t>
            </w:r>
            <w:r>
              <w:rPr>
                <w:rFonts w:hint="eastAsia" w:ascii="宋体" w:hAnsi="宋体" w:cs="宋体"/>
                <w:color w:val="auto"/>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auto"/>
                <w:kern w:val="0"/>
                <w:sz w:val="18"/>
                <w:szCs w:val="18"/>
              </w:rPr>
              <w:t>产出成本</w:t>
            </w:r>
            <w:r>
              <w:rPr>
                <w:rFonts w:hint="eastAsia" w:ascii="宋体" w:hAnsi="宋体" w:cs="宋体"/>
                <w:color w:val="auto"/>
                <w:kern w:val="0"/>
                <w:sz w:val="18"/>
                <w:szCs w:val="18"/>
              </w:rPr>
              <w:t>：单位产出相对于上一年度的节约额；②单位产出相对于市场同类产出的节约额；③部门公用经费的控制情况。</w:t>
            </w:r>
          </w:p>
        </w:tc>
        <w:tc>
          <w:tcPr>
            <w:tcW w:w="178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727" w:hRule="atLeast"/>
        </w:trPr>
        <w:tc>
          <w:tcPr>
            <w:tcW w:w="9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0"/>
                <w:szCs w:val="20"/>
              </w:rPr>
            </w:pPr>
          </w:p>
        </w:tc>
        <w:tc>
          <w:tcPr>
            <w:tcW w:w="845" w:type="dxa"/>
            <w:gridSpan w:val="3"/>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851" w:type="dxa"/>
            <w:gridSpan w:val="2"/>
            <w:vMerge w:val="continue"/>
            <w:tcBorders>
              <w:left w:val="single" w:color="auto" w:sz="4" w:space="0"/>
              <w:right w:val="single" w:color="auto" w:sz="4" w:space="0"/>
            </w:tcBorders>
            <w:vAlign w:val="center"/>
          </w:tcPr>
          <w:p>
            <w:pPr>
              <w:jc w:val="center"/>
              <w:rPr>
                <w:rFonts w:hint="eastAsia"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寻找“首都最美家庭”活动1场</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1场</w:t>
            </w:r>
          </w:p>
        </w:tc>
        <w:tc>
          <w:tcPr>
            <w:tcW w:w="709" w:type="dxa"/>
            <w:gridSpan w:val="2"/>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3.00</w:t>
            </w:r>
          </w:p>
        </w:tc>
        <w:tc>
          <w:tcPr>
            <w:tcW w:w="3137" w:type="dxa"/>
            <w:gridSpan w:val="5"/>
            <w:vMerge w:val="continue"/>
            <w:tcBorders>
              <w:left w:val="single" w:color="auto" w:sz="4" w:space="0"/>
              <w:right w:val="single" w:color="auto" w:sz="4" w:space="0"/>
            </w:tcBorders>
            <w:vAlign w:val="center"/>
          </w:tcPr>
          <w:p>
            <w:pPr>
              <w:widowControl/>
              <w:jc w:val="left"/>
              <w:rPr>
                <w:rFonts w:hint="eastAsia" w:ascii="宋体" w:hAnsi="宋体" w:cs="宋体"/>
                <w:b/>
                <w:bCs/>
                <w:color w:val="auto"/>
                <w:kern w:val="0"/>
                <w:sz w:val="18"/>
                <w:szCs w:val="18"/>
              </w:rPr>
            </w:pPr>
          </w:p>
        </w:tc>
        <w:tc>
          <w:tcPr>
            <w:tcW w:w="1788" w:type="dxa"/>
            <w:vMerge w:val="continue"/>
            <w:tcBorders>
              <w:left w:val="single" w:color="auto" w:sz="4" w:space="0"/>
              <w:right w:val="single" w:color="auto" w:sz="4" w:space="0"/>
            </w:tcBorders>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803" w:hRule="atLeast"/>
        </w:trPr>
        <w:tc>
          <w:tcPr>
            <w:tcW w:w="9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0"/>
                <w:szCs w:val="20"/>
              </w:rPr>
            </w:pPr>
          </w:p>
        </w:tc>
        <w:tc>
          <w:tcPr>
            <w:tcW w:w="845" w:type="dxa"/>
            <w:gridSpan w:val="3"/>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851" w:type="dxa"/>
            <w:gridSpan w:val="2"/>
            <w:vMerge w:val="continue"/>
            <w:tcBorders>
              <w:left w:val="single" w:color="auto" w:sz="4" w:space="0"/>
              <w:right w:val="single" w:color="auto" w:sz="4" w:space="0"/>
            </w:tcBorders>
            <w:vAlign w:val="center"/>
          </w:tcPr>
          <w:p>
            <w:pPr>
              <w:jc w:val="center"/>
              <w:rPr>
                <w:rFonts w:hint="eastAsia"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家庭教育指导工作体系建设1个</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1个</w:t>
            </w:r>
          </w:p>
        </w:tc>
        <w:tc>
          <w:tcPr>
            <w:tcW w:w="709" w:type="dxa"/>
            <w:gridSpan w:val="2"/>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3.00</w:t>
            </w:r>
          </w:p>
        </w:tc>
        <w:tc>
          <w:tcPr>
            <w:tcW w:w="3137" w:type="dxa"/>
            <w:gridSpan w:val="5"/>
            <w:vMerge w:val="continue"/>
            <w:tcBorders>
              <w:left w:val="single" w:color="auto" w:sz="4" w:space="0"/>
              <w:right w:val="single" w:color="auto" w:sz="4" w:space="0"/>
            </w:tcBorders>
            <w:vAlign w:val="center"/>
          </w:tcPr>
          <w:p>
            <w:pPr>
              <w:widowControl/>
              <w:jc w:val="left"/>
              <w:rPr>
                <w:rFonts w:hint="eastAsia" w:ascii="宋体" w:hAnsi="宋体" w:cs="宋体"/>
                <w:b/>
                <w:bCs/>
                <w:color w:val="auto"/>
                <w:kern w:val="0"/>
                <w:sz w:val="18"/>
                <w:szCs w:val="18"/>
              </w:rPr>
            </w:pPr>
          </w:p>
        </w:tc>
        <w:tc>
          <w:tcPr>
            <w:tcW w:w="1788" w:type="dxa"/>
            <w:vMerge w:val="continue"/>
            <w:tcBorders>
              <w:left w:val="single" w:color="auto" w:sz="4" w:space="0"/>
              <w:right w:val="single" w:color="auto" w:sz="4" w:space="0"/>
            </w:tcBorders>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964" w:hRule="atLeast"/>
        </w:trPr>
        <w:tc>
          <w:tcPr>
            <w:tcW w:w="9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0"/>
                <w:szCs w:val="20"/>
              </w:rPr>
            </w:pPr>
          </w:p>
        </w:tc>
        <w:tc>
          <w:tcPr>
            <w:tcW w:w="845" w:type="dxa"/>
            <w:gridSpan w:val="3"/>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851" w:type="dxa"/>
            <w:gridSpan w:val="2"/>
            <w:vMerge w:val="continue"/>
            <w:tcBorders>
              <w:left w:val="single" w:color="auto" w:sz="4" w:space="0"/>
              <w:bottom w:val="single" w:color="auto" w:sz="4" w:space="0"/>
              <w:right w:val="single" w:color="auto" w:sz="4" w:space="0"/>
            </w:tcBorders>
            <w:vAlign w:val="center"/>
          </w:tcPr>
          <w:p>
            <w:pPr>
              <w:jc w:val="center"/>
              <w:rPr>
                <w:rFonts w:hint="eastAsia"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家庭教育课程开发和指导服务1个</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1个</w:t>
            </w:r>
          </w:p>
        </w:tc>
        <w:tc>
          <w:tcPr>
            <w:tcW w:w="709" w:type="dxa"/>
            <w:gridSpan w:val="2"/>
            <w:vMerge w:val="continue"/>
            <w:tcBorders>
              <w:left w:val="single" w:color="auto" w:sz="4" w:space="0"/>
              <w:right w:val="single" w:color="auto" w:sz="4" w:space="0"/>
            </w:tcBorders>
            <w:vAlign w:val="center"/>
          </w:tcPr>
          <w:p>
            <w:pPr>
              <w:jc w:val="center"/>
              <w:rPr>
                <w:rFonts w:hint="eastAsia" w:ascii="宋体" w:hAnsi="宋体" w:cs="宋体"/>
                <w:color w:val="auto"/>
                <w:kern w:val="0"/>
                <w:sz w:val="20"/>
                <w:szCs w:val="20"/>
              </w:rPr>
            </w:pP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3.00</w:t>
            </w:r>
          </w:p>
        </w:tc>
        <w:tc>
          <w:tcPr>
            <w:tcW w:w="3137" w:type="dxa"/>
            <w:gridSpan w:val="5"/>
            <w:vMerge w:val="continue"/>
            <w:tcBorders>
              <w:left w:val="single" w:color="auto" w:sz="4" w:space="0"/>
              <w:right w:val="single" w:color="auto" w:sz="4" w:space="0"/>
            </w:tcBorders>
            <w:vAlign w:val="center"/>
          </w:tcPr>
          <w:p>
            <w:pPr>
              <w:widowControl/>
              <w:jc w:val="left"/>
              <w:rPr>
                <w:rFonts w:hint="eastAsia" w:ascii="宋体" w:hAnsi="宋体" w:cs="宋体"/>
                <w:b/>
                <w:bCs/>
                <w:color w:val="auto"/>
                <w:kern w:val="0"/>
                <w:sz w:val="18"/>
                <w:szCs w:val="18"/>
              </w:rPr>
            </w:pPr>
          </w:p>
        </w:tc>
        <w:tc>
          <w:tcPr>
            <w:tcW w:w="1788" w:type="dxa"/>
            <w:vMerge w:val="continue"/>
            <w:tcBorders>
              <w:left w:val="single" w:color="auto" w:sz="4" w:space="0"/>
              <w:right w:val="single" w:color="auto" w:sz="4" w:space="0"/>
            </w:tcBorders>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1173" w:hRule="atLeast"/>
        </w:trPr>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质量</w:t>
            </w:r>
          </w:p>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高质量完成巾帼志愿服务活动</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完成了2023年北京市学雷锋巾帼志愿服务月活动和“巾帼奋进新时代，志愿引领新风尚”</w:t>
            </w:r>
            <w:r>
              <w:rPr>
                <w:rFonts w:hint="eastAsia" w:ascii="宋体" w:hAnsi="宋体" w:eastAsia="宋体" w:cs="宋体"/>
                <w:bCs w:val="0"/>
                <w:color w:val="auto"/>
                <w:kern w:val="0"/>
                <w:sz w:val="20"/>
                <w:szCs w:val="20"/>
                <w:u w:val="none"/>
                <w:lang w:bidi="ar"/>
              </w:rPr>
              <w:t>--</w:t>
            </w:r>
            <w:r>
              <w:rPr>
                <w:rFonts w:hint="eastAsia" w:ascii="宋体" w:hAnsi="宋体" w:eastAsia="宋体" w:cs="宋体"/>
                <w:i w:val="0"/>
                <w:iCs w:val="0"/>
                <w:color w:val="auto"/>
                <w:kern w:val="0"/>
                <w:sz w:val="20"/>
                <w:szCs w:val="20"/>
                <w:u w:val="none"/>
                <w:lang w:val="en-US" w:eastAsia="zh-CN" w:bidi="ar"/>
              </w:rPr>
              <w:t>首都巾帼志愿服务展示活动，进一步弘扬了“奉献 友爱 互助 进步”的志愿精神，推动巾帼志愿服务品牌建设，扩大巾帼志愿服务的影响力，推动了新时代巾帼志愿服务工作高质量发展</w:t>
            </w: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2.86</w:t>
            </w:r>
          </w:p>
        </w:tc>
        <w:tc>
          <w:tcPr>
            <w:tcW w:w="313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874"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男女平等意识提高</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男女平等意识得到不断提高</w:t>
            </w: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3.07</w:t>
            </w:r>
          </w:p>
        </w:tc>
        <w:tc>
          <w:tcPr>
            <w:tcW w:w="313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964"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进度</w:t>
            </w:r>
          </w:p>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sz w:val="20"/>
                <w:szCs w:val="20"/>
              </w:rPr>
            </w:pPr>
            <w:r>
              <w:rPr>
                <w:rFonts w:hint="eastAsia" w:ascii="宋体" w:hAnsi="宋体" w:eastAsia="宋体" w:cs="宋体"/>
                <w:i w:val="0"/>
                <w:iCs w:val="0"/>
                <w:color w:val="auto"/>
                <w:kern w:val="0"/>
                <w:sz w:val="20"/>
                <w:szCs w:val="20"/>
                <w:u w:val="none"/>
                <w:lang w:val="en-US" w:eastAsia="zh-CN" w:bidi="ar"/>
              </w:rPr>
              <w:t>按时完成全年项目</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2023年全年执行</w:t>
            </w:r>
          </w:p>
        </w:tc>
        <w:tc>
          <w:tcPr>
            <w:tcW w:w="709" w:type="dxa"/>
            <w:gridSpan w:val="2"/>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3.51</w:t>
            </w:r>
          </w:p>
        </w:tc>
        <w:tc>
          <w:tcPr>
            <w:tcW w:w="313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964" w:hRule="atLeast"/>
        </w:trPr>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成本</w:t>
            </w:r>
          </w:p>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sz w:val="20"/>
                <w:szCs w:val="20"/>
              </w:rPr>
            </w:pPr>
            <w:r>
              <w:rPr>
                <w:rFonts w:hint="eastAsia" w:ascii="宋体" w:hAnsi="宋体" w:eastAsia="宋体" w:cs="宋体"/>
                <w:i w:val="0"/>
                <w:iCs w:val="0"/>
                <w:color w:val="auto"/>
                <w:kern w:val="0"/>
                <w:sz w:val="20"/>
                <w:szCs w:val="20"/>
                <w:u w:val="none"/>
                <w:lang w:val="en-US" w:eastAsia="zh-CN" w:bidi="ar"/>
              </w:rPr>
              <w:t>部门整体预算控制在9,132.52万元以内</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实际预算支出8,798.66万元</w:t>
            </w:r>
          </w:p>
        </w:tc>
        <w:tc>
          <w:tcPr>
            <w:tcW w:w="70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nil"/>
              <w:left w:val="nil"/>
              <w:bottom w:val="single" w:color="auto" w:sz="4" w:space="0"/>
              <w:right w:val="nil"/>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3.50</w:t>
            </w:r>
          </w:p>
        </w:tc>
        <w:tc>
          <w:tcPr>
            <w:tcW w:w="313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675"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效果（30）</w:t>
            </w:r>
          </w:p>
        </w:tc>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社会</w:t>
            </w:r>
          </w:p>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效益</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进一步提升领导干部、公众对男女平等基本国策和儿童优先原则的意识</w:t>
            </w:r>
          </w:p>
        </w:tc>
        <w:tc>
          <w:tcPr>
            <w:tcW w:w="28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提高党政干部贯彻男女平等基本国策的领导力执行力，提升社会公众男女平等、儿童优先的认知度和共识</w:t>
            </w: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5.23</w:t>
            </w:r>
          </w:p>
        </w:tc>
        <w:tc>
          <w:tcPr>
            <w:tcW w:w="311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经济效益</w:t>
            </w:r>
            <w:r>
              <w:rPr>
                <w:rFonts w:hint="eastAsia" w:ascii="宋体" w:hAnsi="宋体" w:cs="宋体"/>
                <w:color w:val="auto"/>
                <w:kern w:val="0"/>
                <w:sz w:val="18"/>
                <w:szCs w:val="18"/>
              </w:rPr>
              <w:t>：部门（单位）履行职责对经济发展所带来的直接或间接影响。</w:t>
            </w:r>
            <w:r>
              <w:rPr>
                <w:rFonts w:hint="eastAsia" w:ascii="宋体" w:hAnsi="宋体" w:cs="宋体"/>
                <w:b/>
                <w:bCs/>
                <w:color w:val="auto"/>
                <w:kern w:val="0"/>
                <w:sz w:val="18"/>
                <w:szCs w:val="18"/>
              </w:rPr>
              <w:t>社会效益</w:t>
            </w:r>
            <w:r>
              <w:rPr>
                <w:rFonts w:hint="eastAsia" w:ascii="宋体" w:hAnsi="宋体" w:cs="宋体"/>
                <w:color w:val="auto"/>
                <w:kern w:val="0"/>
                <w:sz w:val="18"/>
                <w:szCs w:val="18"/>
              </w:rPr>
              <w:t>：部门（单位）履行职责对社会发展所带来的直接或间接影响。</w:t>
            </w:r>
            <w:r>
              <w:rPr>
                <w:rFonts w:hint="eastAsia" w:ascii="宋体" w:hAnsi="宋体" w:cs="宋体"/>
                <w:b/>
                <w:bCs/>
                <w:color w:val="auto"/>
                <w:kern w:val="0"/>
                <w:sz w:val="18"/>
                <w:szCs w:val="18"/>
              </w:rPr>
              <w:t>环境效益</w:t>
            </w:r>
            <w:r>
              <w:rPr>
                <w:rFonts w:hint="eastAsia" w:ascii="宋体" w:hAnsi="宋体" w:cs="宋体"/>
                <w:color w:val="auto"/>
                <w:kern w:val="0"/>
                <w:sz w:val="18"/>
                <w:szCs w:val="18"/>
              </w:rPr>
              <w:t>：部门（单位）履行职责对环境所带来的直接或间接影响。</w:t>
            </w:r>
            <w:r>
              <w:rPr>
                <w:rFonts w:hint="eastAsia" w:ascii="宋体" w:hAnsi="宋体" w:cs="宋体"/>
                <w:b/>
                <w:bCs/>
                <w:color w:val="auto"/>
                <w:kern w:val="0"/>
                <w:sz w:val="18"/>
                <w:szCs w:val="18"/>
              </w:rPr>
              <w:t>可持续性影响：</w:t>
            </w:r>
            <w:r>
              <w:rPr>
                <w:rFonts w:hint="eastAsia" w:ascii="宋体" w:hAnsi="宋体" w:cs="宋体"/>
                <w:color w:val="auto"/>
                <w:kern w:val="0"/>
                <w:sz w:val="18"/>
                <w:szCs w:val="18"/>
              </w:rPr>
              <w:t>部门绩效目标实现的长效机制建设情况，部门工作效率提升措施的创新。</w:t>
            </w:r>
            <w:r>
              <w:rPr>
                <w:rFonts w:hint="eastAsia" w:ascii="宋体" w:hAnsi="宋体" w:cs="宋体"/>
                <w:b/>
                <w:bCs/>
                <w:color w:val="auto"/>
                <w:kern w:val="0"/>
                <w:sz w:val="18"/>
                <w:szCs w:val="18"/>
              </w:rPr>
              <w:t>服务对象满意度</w:t>
            </w:r>
            <w:r>
              <w:rPr>
                <w:rFonts w:hint="eastAsia" w:ascii="宋体" w:hAnsi="宋体" w:cs="宋体"/>
                <w:color w:val="auto"/>
                <w:kern w:val="0"/>
                <w:sz w:val="18"/>
                <w:szCs w:val="18"/>
              </w:rPr>
              <w:t>：部门（单位）的服务对象对部门履职效果的满意程度。</w:t>
            </w:r>
          </w:p>
        </w:tc>
        <w:tc>
          <w:tcPr>
            <w:tcW w:w="18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女性科技人才培育力度高</w:t>
            </w:r>
          </w:p>
        </w:tc>
        <w:tc>
          <w:tcPr>
            <w:tcW w:w="2823"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开展23年度首都最美巾帼奋斗者选树，科技领域优秀女性占比超三成，培育宣传女科技工作者；筹办中关村女性科技论坛，展示了前沿科技领域女性的卓越风采和取得的突出成就</w:t>
            </w: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5.37</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1428"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18"/>
                <w:szCs w:val="18"/>
              </w:rPr>
            </w:pPr>
            <w:r>
              <w:rPr>
                <w:rFonts w:hint="eastAsia" w:ascii="宋体" w:hAnsi="宋体" w:eastAsia="宋体" w:cs="宋体"/>
                <w:i w:val="0"/>
                <w:iCs w:val="0"/>
                <w:color w:val="auto"/>
                <w:kern w:val="0"/>
                <w:sz w:val="20"/>
                <w:szCs w:val="20"/>
                <w:u w:val="none"/>
                <w:lang w:val="en-US" w:eastAsia="zh-CN" w:bidi="ar"/>
              </w:rPr>
              <w:t>对口援建、京津冀地区妇女创业就业能力提高</w:t>
            </w:r>
          </w:p>
        </w:tc>
        <w:tc>
          <w:tcPr>
            <w:tcW w:w="2823"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18"/>
                <w:szCs w:val="18"/>
              </w:rPr>
            </w:pPr>
            <w:r>
              <w:rPr>
                <w:rFonts w:hint="eastAsia" w:ascii="宋体" w:hAnsi="宋体" w:eastAsia="宋体" w:cs="宋体"/>
                <w:i w:val="0"/>
                <w:iCs w:val="0"/>
                <w:color w:val="auto"/>
                <w:kern w:val="0"/>
                <w:sz w:val="20"/>
                <w:szCs w:val="20"/>
                <w:u w:val="none"/>
                <w:lang w:val="en-US" w:eastAsia="zh-CN" w:bidi="ar"/>
              </w:rPr>
              <w:t>新疆和田、兵团十四师两地共捐赠40万元助学款，通过加大在女性健康、女性创业发展等方面的支持帮扶力度，有效提升了当地妇女创就业能力，激励他们积极投身建设美好新疆进程</w:t>
            </w: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5.23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75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优秀女性典型示范引领作用</w:t>
            </w:r>
          </w:p>
        </w:tc>
        <w:tc>
          <w:tcPr>
            <w:tcW w:w="2823"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各类优秀典型得到宣传，妇女思想政治引领效果好</w:t>
            </w: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5.23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690"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4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服务对象满意度</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sz w:val="20"/>
                <w:szCs w:val="20"/>
              </w:rPr>
            </w:pPr>
            <w:r>
              <w:rPr>
                <w:rFonts w:hint="eastAsia" w:ascii="宋体" w:hAnsi="宋体" w:eastAsia="宋体" w:cs="宋体"/>
                <w:i w:val="0"/>
                <w:iCs w:val="0"/>
                <w:color w:val="auto"/>
                <w:kern w:val="0"/>
                <w:sz w:val="20"/>
                <w:szCs w:val="20"/>
                <w:u w:val="none"/>
                <w:lang w:val="en-US" w:eastAsia="zh-CN" w:bidi="ar"/>
              </w:rPr>
              <w:t>被服务妇女群众满意度≥85%</w:t>
            </w:r>
          </w:p>
        </w:tc>
        <w:tc>
          <w:tcPr>
            <w:tcW w:w="2823" w:type="dxa"/>
            <w:gridSpan w:val="6"/>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ajorEastAsia" w:hAnsiTheme="majorEastAsia" w:eastAsiaTheme="majorEastAsia"/>
                <w:color w:val="auto"/>
                <w:sz w:val="20"/>
                <w:szCs w:val="20"/>
              </w:rPr>
            </w:pPr>
            <w:r>
              <w:rPr>
                <w:rFonts w:hint="eastAsia" w:ascii="宋体" w:hAnsi="宋体" w:eastAsia="宋体" w:cs="宋体"/>
                <w:i w:val="0"/>
                <w:iCs w:val="0"/>
                <w:color w:val="auto"/>
                <w:kern w:val="0"/>
                <w:sz w:val="20"/>
                <w:szCs w:val="20"/>
                <w:u w:val="none"/>
                <w:lang w:val="en-US" w:eastAsia="zh-CN" w:bidi="ar"/>
              </w:rPr>
              <w:t>98%</w:t>
            </w: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721"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w:t>
            </w:r>
          </w:p>
        </w:tc>
        <w:tc>
          <w:tcPr>
            <w:tcW w:w="311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0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69" w:hRule="atLeast"/>
        </w:trPr>
        <w:tc>
          <w:tcPr>
            <w:tcW w:w="14526" w:type="dxa"/>
            <w:gridSpan w:val="2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三</w:t>
            </w:r>
            <w:r>
              <w:rPr>
                <w:rFonts w:ascii="宋体" w:hAnsi="宋体" w:cs="宋体"/>
                <w:b/>
                <w:bCs/>
                <w:color w:val="auto"/>
                <w:kern w:val="0"/>
                <w:sz w:val="20"/>
                <w:szCs w:val="20"/>
              </w:rPr>
              <w:t>、</w:t>
            </w:r>
            <w:r>
              <w:rPr>
                <w:rFonts w:hint="eastAsia" w:ascii="宋体" w:hAnsi="宋体" w:cs="宋体"/>
                <w:b/>
                <w:bCs/>
                <w:color w:val="auto"/>
                <w:kern w:val="0"/>
                <w:sz w:val="20"/>
                <w:szCs w:val="20"/>
              </w:rPr>
              <w:t>预算管理情况（20分）</w:t>
            </w:r>
          </w:p>
        </w:tc>
      </w:tr>
      <w:tr>
        <w:tblPrEx>
          <w:tblCellMar>
            <w:top w:w="0" w:type="dxa"/>
            <w:left w:w="108" w:type="dxa"/>
            <w:bottom w:w="0" w:type="dxa"/>
            <w:right w:w="108" w:type="dxa"/>
          </w:tblCellMar>
        </w:tblPrEx>
        <w:trPr>
          <w:trHeight w:val="702"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w:t>
            </w:r>
            <w:r>
              <w:rPr>
                <w:rFonts w:ascii="宋体" w:hAnsi="宋体" w:cs="宋体"/>
                <w:b/>
                <w:bCs/>
                <w:color w:val="auto"/>
                <w:kern w:val="0"/>
                <w:sz w:val="20"/>
                <w:szCs w:val="20"/>
              </w:rPr>
              <w:t>级</w:t>
            </w:r>
          </w:p>
          <w:p>
            <w:pPr>
              <w:widowControl/>
              <w:jc w:val="center"/>
              <w:rPr>
                <w:rFonts w:ascii="宋体" w:hAnsi="宋体" w:cs="宋体"/>
                <w:b/>
                <w:bCs/>
                <w:color w:val="auto"/>
                <w:kern w:val="0"/>
                <w:sz w:val="20"/>
                <w:szCs w:val="20"/>
              </w:rPr>
            </w:pPr>
            <w:r>
              <w:rPr>
                <w:rFonts w:ascii="宋体" w:hAnsi="宋体" w:cs="宋体"/>
                <w:b/>
                <w:bCs/>
                <w:color w:val="auto"/>
                <w:kern w:val="0"/>
                <w:sz w:val="20"/>
                <w:szCs w:val="20"/>
              </w:rPr>
              <w:t>指标</w:t>
            </w:r>
          </w:p>
        </w:tc>
        <w:tc>
          <w:tcPr>
            <w:tcW w:w="268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指标</w:t>
            </w:r>
            <w:r>
              <w:rPr>
                <w:rFonts w:ascii="宋体" w:hAnsi="宋体" w:cs="宋体"/>
                <w:b/>
                <w:bCs/>
                <w:color w:val="auto"/>
                <w:kern w:val="0"/>
                <w:sz w:val="20"/>
                <w:szCs w:val="20"/>
              </w:rPr>
              <w:t>值</w:t>
            </w:r>
          </w:p>
        </w:tc>
        <w:tc>
          <w:tcPr>
            <w:tcW w:w="183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完成</w:t>
            </w:r>
            <w:r>
              <w:rPr>
                <w:rFonts w:ascii="宋体" w:hAnsi="宋体" w:cs="宋体"/>
                <w:b/>
                <w:bCs/>
                <w:color w:val="auto"/>
                <w:kern w:val="0"/>
                <w:sz w:val="20"/>
                <w:szCs w:val="20"/>
              </w:rPr>
              <w:t>值</w:t>
            </w:r>
          </w:p>
        </w:tc>
        <w:tc>
          <w:tcPr>
            <w:tcW w:w="17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w:t>
            </w:r>
            <w:r>
              <w:rPr>
                <w:rFonts w:ascii="宋体" w:hAnsi="宋体" w:cs="宋体"/>
                <w:b/>
                <w:bCs/>
                <w:color w:val="auto"/>
                <w:kern w:val="0"/>
                <w:sz w:val="20"/>
                <w:szCs w:val="20"/>
              </w:rPr>
              <w:t>值</w:t>
            </w:r>
          </w:p>
        </w:tc>
        <w:tc>
          <w:tcPr>
            <w:tcW w:w="721" w:type="dxa"/>
            <w:tcBorders>
              <w:top w:val="single" w:color="auto" w:sz="4" w:space="0"/>
              <w:left w:val="nil"/>
              <w:bottom w:val="single" w:color="auto" w:sz="4" w:space="0"/>
              <w:right w:val="nil"/>
            </w:tcBorders>
            <w:vAlign w:val="center"/>
          </w:tcPr>
          <w:p>
            <w:pPr>
              <w:widowControl/>
              <w:tabs>
                <w:tab w:val="left" w:pos="297"/>
              </w:tabs>
              <w:jc w:val="center"/>
              <w:rPr>
                <w:rFonts w:ascii="宋体" w:hAnsi="宋体" w:cs="宋体"/>
                <w:b/>
                <w:bCs/>
                <w:color w:val="auto"/>
                <w:kern w:val="0"/>
                <w:sz w:val="20"/>
                <w:szCs w:val="20"/>
              </w:rPr>
            </w:pPr>
            <w:r>
              <w:rPr>
                <w:rFonts w:hint="eastAsia" w:ascii="宋体" w:hAnsi="宋体" w:cs="宋体"/>
                <w:b/>
                <w:bCs/>
                <w:color w:val="auto"/>
                <w:kern w:val="0"/>
                <w:sz w:val="20"/>
                <w:szCs w:val="20"/>
              </w:rPr>
              <w:t>得</w:t>
            </w:r>
            <w:r>
              <w:rPr>
                <w:rFonts w:ascii="宋体" w:hAnsi="宋体" w:cs="宋体"/>
                <w:b/>
                <w:bCs/>
                <w:color w:val="auto"/>
                <w:kern w:val="0"/>
                <w:sz w:val="20"/>
                <w:szCs w:val="20"/>
              </w:rPr>
              <w:t>分</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297"/>
              </w:tabs>
              <w:jc w:val="center"/>
              <w:rPr>
                <w:rFonts w:ascii="宋体" w:hAnsi="宋体" w:cs="宋体"/>
                <w:b/>
                <w:bCs/>
                <w:color w:val="auto"/>
                <w:kern w:val="0"/>
                <w:sz w:val="18"/>
                <w:szCs w:val="18"/>
              </w:rPr>
            </w:pPr>
            <w:r>
              <w:rPr>
                <w:rFonts w:hint="eastAsia" w:ascii="宋体" w:hAnsi="宋体" w:cs="宋体"/>
                <w:b/>
                <w:bCs/>
                <w:color w:val="auto"/>
                <w:kern w:val="0"/>
                <w:sz w:val="18"/>
                <w:szCs w:val="18"/>
              </w:rPr>
              <w:t>指标</w:t>
            </w:r>
            <w:r>
              <w:rPr>
                <w:rFonts w:ascii="宋体" w:hAnsi="宋体" w:cs="宋体"/>
                <w:b/>
                <w:bCs/>
                <w:color w:val="auto"/>
                <w:kern w:val="0"/>
                <w:sz w:val="18"/>
                <w:szCs w:val="18"/>
              </w:rPr>
              <w:t>解释</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w:t>
            </w:r>
            <w:r>
              <w:rPr>
                <w:rFonts w:ascii="宋体" w:hAnsi="宋体" w:cs="宋体"/>
                <w:b/>
                <w:bCs/>
                <w:color w:val="auto"/>
                <w:kern w:val="0"/>
                <w:sz w:val="18"/>
                <w:szCs w:val="18"/>
              </w:rPr>
              <w:t>分标准</w:t>
            </w:r>
          </w:p>
        </w:tc>
      </w:tr>
      <w:tr>
        <w:tblPrEx>
          <w:tblCellMar>
            <w:top w:w="0" w:type="dxa"/>
            <w:left w:w="108" w:type="dxa"/>
            <w:bottom w:w="0" w:type="dxa"/>
            <w:right w:w="108" w:type="dxa"/>
          </w:tblCellMar>
        </w:tblPrEx>
        <w:trPr>
          <w:trHeight w:val="1871"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预算管理情况（20）</w:t>
            </w:r>
          </w:p>
        </w:tc>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财务</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管理</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财务管理制度健全性</w:t>
            </w:r>
          </w:p>
        </w:tc>
        <w:tc>
          <w:tcPr>
            <w:tcW w:w="268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建立相关财务管理制度，且完整、合规</w:t>
            </w:r>
          </w:p>
        </w:tc>
        <w:tc>
          <w:tcPr>
            <w:tcW w:w="183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相关财务管理制度</w:t>
            </w:r>
            <w:r>
              <w:rPr>
                <w:rFonts w:hint="eastAsia" w:ascii="宋体" w:hAnsi="宋体" w:cs="宋体"/>
                <w:i w:val="0"/>
                <w:iCs w:val="0"/>
                <w:color w:val="auto"/>
                <w:kern w:val="0"/>
                <w:sz w:val="20"/>
                <w:szCs w:val="20"/>
                <w:u w:val="none"/>
                <w:lang w:val="en-US" w:eastAsia="zh-CN" w:bidi="ar"/>
              </w:rPr>
              <w:t>较为</w:t>
            </w:r>
            <w:r>
              <w:rPr>
                <w:rFonts w:hint="eastAsia" w:ascii="宋体" w:hAnsi="宋体" w:eastAsia="宋体" w:cs="宋体"/>
                <w:i w:val="0"/>
                <w:iCs w:val="0"/>
                <w:color w:val="auto"/>
                <w:kern w:val="0"/>
                <w:sz w:val="20"/>
                <w:szCs w:val="20"/>
                <w:u w:val="none"/>
                <w:lang w:val="en-US" w:eastAsia="zh-CN" w:bidi="ar"/>
              </w:rPr>
              <w:t>完整、规范</w:t>
            </w:r>
          </w:p>
        </w:tc>
        <w:tc>
          <w:tcPr>
            <w:tcW w:w="1700"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1</w:t>
            </w: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 xml:space="preserve">0.90 </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财务管理制度健全性</w:t>
            </w:r>
            <w:r>
              <w:rPr>
                <w:rFonts w:hint="eastAsia" w:ascii="宋体" w:hAnsi="宋体" w:cs="宋体"/>
                <w:b/>
                <w:bCs/>
                <w:color w:val="auto"/>
                <w:kern w:val="0"/>
                <w:sz w:val="18"/>
                <w:szCs w:val="18"/>
                <w:lang w:eastAsia="zh-CN"/>
              </w:rPr>
              <w:t>：</w:t>
            </w:r>
            <w:r>
              <w:rPr>
                <w:rFonts w:hint="eastAsia" w:ascii="宋体" w:hAnsi="宋体" w:cs="宋体"/>
                <w:color w:val="auto"/>
                <w:kern w:val="0"/>
                <w:sz w:val="18"/>
                <w:szCs w:val="18"/>
              </w:rPr>
              <w:t>部门（单位）为加强财务管理、规范财务行为而制定的管理制度。</w:t>
            </w:r>
          </w:p>
        </w:tc>
        <w:tc>
          <w:tcPr>
            <w:tcW w:w="18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1871"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资金使用合规性和安全性</w:t>
            </w:r>
          </w:p>
        </w:tc>
        <w:tc>
          <w:tcPr>
            <w:tcW w:w="268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资金使用符合相关管理要求，使用合规、安全</w:t>
            </w:r>
          </w:p>
        </w:tc>
        <w:tc>
          <w:tcPr>
            <w:tcW w:w="183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auto"/>
                <w:sz w:val="20"/>
                <w:szCs w:val="20"/>
                <w:lang w:val="en-US"/>
              </w:rPr>
            </w:pPr>
            <w:r>
              <w:rPr>
                <w:rFonts w:hint="eastAsia" w:ascii="宋体" w:hAnsi="宋体" w:eastAsia="宋体" w:cs="宋体"/>
                <w:i w:val="0"/>
                <w:iCs w:val="0"/>
                <w:color w:val="auto"/>
                <w:kern w:val="0"/>
                <w:sz w:val="20"/>
                <w:szCs w:val="20"/>
                <w:u w:val="none"/>
                <w:lang w:val="en-US" w:eastAsia="zh-CN" w:bidi="ar"/>
              </w:rPr>
              <w:t>资金使用符合要求、执行</w:t>
            </w:r>
            <w:r>
              <w:rPr>
                <w:rFonts w:hint="eastAsia" w:ascii="宋体" w:hAnsi="宋体" w:cs="宋体"/>
                <w:i w:val="0"/>
                <w:iCs w:val="0"/>
                <w:color w:val="auto"/>
                <w:kern w:val="0"/>
                <w:sz w:val="20"/>
                <w:szCs w:val="20"/>
                <w:u w:val="none"/>
                <w:lang w:val="en-US" w:eastAsia="zh-CN" w:bidi="ar"/>
              </w:rPr>
              <w:t>较为规范</w:t>
            </w:r>
          </w:p>
        </w:tc>
        <w:tc>
          <w:tcPr>
            <w:tcW w:w="1700"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w:t>
            </w: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1.79</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资金使用合规性和安全性</w:t>
            </w:r>
            <w:r>
              <w:rPr>
                <w:rFonts w:hint="eastAsia" w:ascii="宋体" w:hAnsi="宋体" w:cs="宋体"/>
                <w:b/>
                <w:bCs/>
                <w:color w:val="auto"/>
                <w:kern w:val="0"/>
                <w:sz w:val="18"/>
                <w:szCs w:val="18"/>
                <w:lang w:eastAsia="zh-CN"/>
              </w:rPr>
              <w:t>：</w:t>
            </w:r>
            <w:r>
              <w:rPr>
                <w:rFonts w:hint="eastAsia" w:ascii="宋体" w:hAnsi="宋体" w:cs="宋体"/>
                <w:color w:val="auto"/>
                <w:kern w:val="0"/>
                <w:sz w:val="18"/>
                <w:szCs w:val="18"/>
              </w:rPr>
              <w:t>部门（单位）使用预算资金是否符合相关的预算财务管理制度的规定，是否符合相关规定的开支范围，用以反映考核部门（单位）预算资金的规范运行和安全运行情况。</w:t>
            </w:r>
          </w:p>
        </w:tc>
        <w:tc>
          <w:tcPr>
            <w:tcW w:w="18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871" w:hRule="atLeast"/>
        </w:trPr>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6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会计基础信息完善性</w:t>
            </w:r>
          </w:p>
        </w:tc>
        <w:tc>
          <w:tcPr>
            <w:tcW w:w="26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基础数据信息和会计信息资料、完整、准确</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单位基础数据信息和会计信息资料、完整、准确</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1.00</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会计基础信息完善性</w:t>
            </w:r>
            <w:r>
              <w:rPr>
                <w:rFonts w:hint="eastAsia" w:ascii="宋体" w:hAnsi="宋体" w:cs="宋体"/>
                <w:b/>
                <w:bCs/>
                <w:color w:val="auto"/>
                <w:kern w:val="0"/>
                <w:sz w:val="18"/>
                <w:szCs w:val="18"/>
                <w:lang w:eastAsia="zh-CN"/>
              </w:rPr>
              <w:t>：</w:t>
            </w:r>
            <w:r>
              <w:rPr>
                <w:rFonts w:hint="eastAsia" w:ascii="宋体" w:hAnsi="宋体" w:cs="宋体"/>
                <w:color w:val="auto"/>
                <w:kern w:val="0"/>
                <w:sz w:val="18"/>
                <w:szCs w:val="18"/>
              </w:rPr>
              <w:t>部门（单位）会计基础信息情况。</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5885"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资产管理（4）</w:t>
            </w:r>
          </w:p>
        </w:tc>
        <w:tc>
          <w:tcPr>
            <w:tcW w:w="86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资产管理规范性</w:t>
            </w:r>
          </w:p>
        </w:tc>
        <w:tc>
          <w:tcPr>
            <w:tcW w:w="26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资产管理制度健全，执行规范</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资产管理制度健全，但未对固定资产盘点结果进行总结分析，出具分析报告，制定整改措施</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3.21</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资产管理规范性</w:t>
            </w:r>
            <w:r>
              <w:rPr>
                <w:rFonts w:hint="eastAsia" w:ascii="宋体" w:hAnsi="宋体" w:cs="宋体"/>
                <w:b/>
                <w:bCs/>
                <w:color w:val="auto"/>
                <w:kern w:val="0"/>
                <w:sz w:val="18"/>
                <w:szCs w:val="18"/>
                <w:lang w:eastAsia="zh-CN"/>
              </w:rPr>
              <w:t>：</w:t>
            </w:r>
            <w:r>
              <w:rPr>
                <w:rFonts w:hint="eastAsia" w:ascii="宋体" w:hAnsi="宋体" w:cs="宋体"/>
                <w:color w:val="auto"/>
                <w:kern w:val="0"/>
                <w:sz w:val="18"/>
                <w:szCs w:val="18"/>
              </w:rPr>
              <w:t>部门（单位）的资产是否保持安全完整，资产配置是否合理，资产使用和资产处理是否规范，用以反映和考核部门（单位）资产管理的整体水平。</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454"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绩效管理（4）</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绩效管理情况</w:t>
            </w:r>
          </w:p>
        </w:tc>
        <w:tc>
          <w:tcPr>
            <w:tcW w:w="268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对绩效信息进行汇总分析整理；对绩效目标偏离情况及时进行矫正。</w:t>
            </w:r>
          </w:p>
        </w:tc>
        <w:tc>
          <w:tcPr>
            <w:tcW w:w="183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对绩效信息进行汇总分析整理；对绩效目标偏离情况进行矫正。</w:t>
            </w:r>
          </w:p>
        </w:tc>
        <w:tc>
          <w:tcPr>
            <w:tcW w:w="17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721"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2.86</w:t>
            </w:r>
          </w:p>
        </w:tc>
        <w:tc>
          <w:tcPr>
            <w:tcW w:w="312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绩效管理情况</w:t>
            </w:r>
            <w:r>
              <w:rPr>
                <w:rFonts w:hint="eastAsia" w:ascii="宋体" w:hAnsi="宋体" w:cs="宋体"/>
                <w:b/>
                <w:bCs/>
                <w:color w:val="auto"/>
                <w:kern w:val="0"/>
                <w:sz w:val="18"/>
                <w:szCs w:val="18"/>
                <w:lang w:eastAsia="zh-CN"/>
              </w:rPr>
              <w:t>：</w:t>
            </w:r>
            <w:r>
              <w:rPr>
                <w:rFonts w:hint="eastAsia" w:ascii="宋体" w:hAnsi="宋体" w:cs="宋体"/>
                <w:color w:val="auto"/>
                <w:kern w:val="0"/>
                <w:sz w:val="18"/>
                <w:szCs w:val="18"/>
              </w:rPr>
              <w:t>考核部门（单位）在绩效管理信息的汇总和应用情况。</w:t>
            </w:r>
          </w:p>
        </w:tc>
        <w:tc>
          <w:tcPr>
            <w:tcW w:w="18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113"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70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指标</w:t>
            </w:r>
          </w:p>
        </w:tc>
        <w:tc>
          <w:tcPr>
            <w:tcW w:w="13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年</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年</w:t>
            </w:r>
          </w:p>
        </w:tc>
        <w:tc>
          <w:tcPr>
            <w:tcW w:w="9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分值</w:t>
            </w: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得分</w:t>
            </w:r>
          </w:p>
        </w:tc>
        <w:tc>
          <w:tcPr>
            <w:tcW w:w="383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bCs/>
                <w:color w:val="auto"/>
                <w:kern w:val="0"/>
                <w:sz w:val="18"/>
                <w:szCs w:val="18"/>
              </w:rPr>
              <w:t>指标</w:t>
            </w:r>
            <w:r>
              <w:rPr>
                <w:rFonts w:ascii="宋体" w:hAnsi="宋体" w:cs="宋体"/>
                <w:bCs/>
                <w:color w:val="auto"/>
                <w:kern w:val="0"/>
                <w:sz w:val="18"/>
                <w:szCs w:val="18"/>
              </w:rPr>
              <w:t>解释</w:t>
            </w:r>
          </w:p>
        </w:tc>
        <w:tc>
          <w:tcPr>
            <w:tcW w:w="3514" w:type="dxa"/>
            <w:gridSpan w:val="5"/>
            <w:tcBorders>
              <w:top w:val="single" w:color="auto" w:sz="4" w:space="0"/>
              <w:left w:val="nil"/>
              <w:bottom w:val="single" w:color="auto" w:sz="4" w:space="0"/>
              <w:right w:val="single" w:color="auto" w:sz="4" w:space="0"/>
            </w:tcBorders>
            <w:vAlign w:val="center"/>
          </w:tcPr>
          <w:p>
            <w:pPr>
              <w:widowControl/>
              <w:jc w:val="center"/>
              <w:rPr>
                <w:rFonts w:eastAsia="Times New Roman"/>
                <w:color w:val="auto"/>
                <w:kern w:val="0"/>
                <w:sz w:val="20"/>
                <w:szCs w:val="20"/>
              </w:rPr>
            </w:pPr>
            <w:r>
              <w:rPr>
                <w:rFonts w:hint="eastAsia" w:ascii="宋体" w:hAnsi="宋体" w:cs="宋体"/>
                <w:color w:val="auto"/>
                <w:kern w:val="0"/>
                <w:sz w:val="18"/>
                <w:szCs w:val="18"/>
              </w:rPr>
              <w:t>评</w:t>
            </w:r>
            <w:r>
              <w:rPr>
                <w:rFonts w:ascii="宋体" w:hAnsi="宋体" w:cs="宋体"/>
                <w:color w:val="auto"/>
                <w:kern w:val="0"/>
                <w:sz w:val="18"/>
                <w:szCs w:val="18"/>
              </w:rPr>
              <w:t>分标准</w:t>
            </w:r>
          </w:p>
        </w:tc>
      </w:tr>
      <w:tr>
        <w:tblPrEx>
          <w:tblCellMar>
            <w:top w:w="0" w:type="dxa"/>
            <w:left w:w="108" w:type="dxa"/>
            <w:bottom w:w="0" w:type="dxa"/>
            <w:right w:w="108" w:type="dxa"/>
          </w:tblCellMar>
        </w:tblPrEx>
        <w:trPr>
          <w:trHeight w:val="454"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707"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结转结余率（4）</w:t>
            </w:r>
          </w:p>
        </w:tc>
        <w:tc>
          <w:tcPr>
            <w:tcW w:w="13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5.75%</w:t>
            </w:r>
          </w:p>
        </w:tc>
        <w:tc>
          <w:tcPr>
            <w:tcW w:w="13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3.66%</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932" w:type="dxa"/>
            <w:gridSpan w:val="2"/>
            <w:tcBorders>
              <w:top w:val="nil"/>
              <w:left w:val="nil"/>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383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结转结余率=结转结余总额/支出预算数×100%。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结转结余总额：部门（单位）本年度的结转资金与结余资金之和。</w:t>
            </w:r>
          </w:p>
        </w:tc>
        <w:tc>
          <w:tcPr>
            <w:tcW w:w="351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454"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707"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部门预决算差异率（4）</w:t>
            </w:r>
          </w:p>
        </w:tc>
        <w:tc>
          <w:tcPr>
            <w:tcW w:w="1320" w:type="dxa"/>
            <w:gridSpan w:val="2"/>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w:t>
            </w:r>
          </w:p>
        </w:tc>
        <w:tc>
          <w:tcPr>
            <w:tcW w:w="1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6.41%</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932" w:type="dxa"/>
            <w:gridSpan w:val="2"/>
            <w:tcBorders>
              <w:top w:val="nil"/>
              <w:left w:val="nil"/>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3832" w:type="dxa"/>
            <w:gridSpan w:val="6"/>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通过年度部门决算与年初部门预算对比，对部门的年度支出情况进行考核，衡量部门预算的约束力。</w:t>
            </w:r>
          </w:p>
        </w:tc>
        <w:tc>
          <w:tcPr>
            <w:tcW w:w="3514" w:type="dxa"/>
            <w:gridSpan w:val="5"/>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170" w:hRule="atLeast"/>
        </w:trPr>
        <w:tc>
          <w:tcPr>
            <w:tcW w:w="534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合计</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100.00</w:t>
            </w:r>
          </w:p>
        </w:tc>
        <w:tc>
          <w:tcPr>
            <w:tcW w:w="932" w:type="dxa"/>
            <w:gridSpan w:val="2"/>
            <w:tcBorders>
              <w:top w:val="nil"/>
              <w:left w:val="nil"/>
              <w:bottom w:val="single" w:color="auto" w:sz="4" w:space="0"/>
              <w:right w:val="nil"/>
            </w:tcBorders>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8</w:t>
            </w:r>
            <w:r>
              <w:rPr>
                <w:rFonts w:hint="eastAsia" w:ascii="宋体" w:hAnsi="宋体" w:cs="宋体"/>
                <w:b/>
                <w:color w:val="auto"/>
                <w:kern w:val="0"/>
                <w:sz w:val="20"/>
                <w:szCs w:val="20"/>
                <w:lang w:val="en-US" w:eastAsia="zh-CN"/>
              </w:rPr>
              <w:t>9</w:t>
            </w:r>
            <w:r>
              <w:rPr>
                <w:rFonts w:ascii="宋体" w:hAnsi="宋体" w:cs="宋体"/>
                <w:b/>
                <w:color w:val="auto"/>
                <w:kern w:val="0"/>
                <w:sz w:val="20"/>
                <w:szCs w:val="20"/>
              </w:rPr>
              <w:t>.</w:t>
            </w:r>
            <w:r>
              <w:rPr>
                <w:rFonts w:hint="eastAsia" w:ascii="宋体" w:hAnsi="宋体" w:cs="宋体"/>
                <w:b/>
                <w:color w:val="auto"/>
                <w:kern w:val="0"/>
                <w:sz w:val="20"/>
                <w:szCs w:val="20"/>
                <w:lang w:val="en-US" w:eastAsia="zh-CN"/>
              </w:rPr>
              <w:t>86</w:t>
            </w:r>
          </w:p>
        </w:tc>
        <w:tc>
          <w:tcPr>
            <w:tcW w:w="7346" w:type="dxa"/>
            <w:gridSpan w:val="11"/>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color w:val="auto"/>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color w:val="auto"/>
          <w:sz w:val="13"/>
          <w:szCs w:val="16"/>
        </w:rPr>
      </w:pPr>
    </w:p>
    <w:sectPr>
      <w:pgSz w:w="16838" w:h="11906" w:orient="landscape"/>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01291595"/>
                          </w:sdtPr>
                          <w:sdtEndPr>
                            <w:rPr>
                              <w:rFonts w:asciiTheme="minorEastAsia" w:hAnsiTheme="minorEastAsia" w:eastAsiaTheme="minorEastAsia"/>
                              <w:sz w:val="24"/>
                              <w:szCs w:val="24"/>
                            </w:rPr>
                          </w:sdtEndPr>
                          <w:sdtContent>
                            <w:p>
                              <w:pPr>
                                <w:pStyle w:val="1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2101291595"/>
                    </w:sdtPr>
                    <w:sdtEndPr>
                      <w:rPr>
                        <w:rFonts w:asciiTheme="minorEastAsia" w:hAnsiTheme="minorEastAsia" w:eastAsiaTheme="minorEastAsia"/>
                        <w:sz w:val="24"/>
                        <w:szCs w:val="24"/>
                      </w:rPr>
                    </w:sdtEndPr>
                    <w:sdtContent>
                      <w:p>
                        <w:pPr>
                          <w:pStyle w:val="1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5"/>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 w:val="24"/>
        <w:szCs w:val="24"/>
      </w:rP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01291595"/>
                          </w:sdtPr>
                          <w:sdtEndPr>
                            <w:rPr>
                              <w:rFonts w:asciiTheme="minorEastAsia" w:hAnsiTheme="minorEastAsia" w:eastAsiaTheme="minorEastAsia"/>
                              <w:sz w:val="24"/>
                              <w:szCs w:val="24"/>
                            </w:rPr>
                          </w:sdtEndPr>
                          <w:sdtContent>
                            <w:p>
                              <w:pPr>
                                <w:pStyle w:val="1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sdt>
                    <w:sdtPr>
                      <w:id w:val="2101291595"/>
                    </w:sdtPr>
                    <w:sdtEndPr>
                      <w:rPr>
                        <w:rFonts w:asciiTheme="minorEastAsia" w:hAnsiTheme="minorEastAsia" w:eastAsiaTheme="minorEastAsia"/>
                        <w:sz w:val="24"/>
                        <w:szCs w:val="24"/>
                      </w:rPr>
                    </w:sdtEndPr>
                    <w:sdtContent>
                      <w:p>
                        <w:pPr>
                          <w:pStyle w:val="1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5"/>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5624913"/>
                          </w:sdtPr>
                          <w:sdtContent>
                            <w:p>
                              <w:pPr>
                                <w:pStyle w:val="10"/>
                                <w:jc w:val="center"/>
                              </w:pPr>
                              <w:r>
                                <w:rPr>
                                  <w:rFonts w:hint="eastAsia" w:ascii="宋体" w:hAnsi="宋体" w:cs="宋体"/>
                                  <w:sz w:val="20"/>
                                  <w:szCs w:val="21"/>
                                </w:rPr>
                                <w:fldChar w:fldCharType="begin"/>
                              </w:r>
                              <w:r>
                                <w:rPr>
                                  <w:rFonts w:hint="eastAsia" w:ascii="宋体" w:hAnsi="宋体" w:cs="宋体"/>
                                  <w:sz w:val="20"/>
                                  <w:szCs w:val="21"/>
                                </w:rPr>
                                <w:instrText xml:space="preserve">PAGE   \* MERGEFORMAT</w:instrText>
                              </w:r>
                              <w:r>
                                <w:rPr>
                                  <w:rFonts w:hint="eastAsia" w:ascii="宋体" w:hAnsi="宋体" w:cs="宋体"/>
                                  <w:sz w:val="20"/>
                                  <w:szCs w:val="21"/>
                                </w:rPr>
                                <w:fldChar w:fldCharType="separate"/>
                              </w:r>
                              <w:r>
                                <w:rPr>
                                  <w:rFonts w:ascii="宋体" w:hAnsi="宋体" w:cs="宋体"/>
                                  <w:sz w:val="20"/>
                                  <w:szCs w:val="21"/>
                                  <w:lang w:val="zh-CN"/>
                                </w:rPr>
                                <w:t>1</w:t>
                              </w:r>
                              <w:r>
                                <w:rPr>
                                  <w:rFonts w:hint="eastAsia" w:ascii="宋体" w:hAnsi="宋体" w:cs="宋体"/>
                                  <w:sz w:val="20"/>
                                  <w:szCs w:val="21"/>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sdt>
                    <w:sdtPr>
                      <w:id w:val="65624913"/>
                    </w:sdtPr>
                    <w:sdtContent>
                      <w:p>
                        <w:pPr>
                          <w:pStyle w:val="10"/>
                          <w:jc w:val="center"/>
                        </w:pPr>
                        <w:r>
                          <w:rPr>
                            <w:rFonts w:hint="eastAsia" w:ascii="宋体" w:hAnsi="宋体" w:cs="宋体"/>
                            <w:sz w:val="20"/>
                            <w:szCs w:val="21"/>
                          </w:rPr>
                          <w:fldChar w:fldCharType="begin"/>
                        </w:r>
                        <w:r>
                          <w:rPr>
                            <w:rFonts w:hint="eastAsia" w:ascii="宋体" w:hAnsi="宋体" w:cs="宋体"/>
                            <w:sz w:val="20"/>
                            <w:szCs w:val="21"/>
                          </w:rPr>
                          <w:instrText xml:space="preserve">PAGE   \* MERGEFORMAT</w:instrText>
                        </w:r>
                        <w:r>
                          <w:rPr>
                            <w:rFonts w:hint="eastAsia" w:ascii="宋体" w:hAnsi="宋体" w:cs="宋体"/>
                            <w:sz w:val="20"/>
                            <w:szCs w:val="21"/>
                          </w:rPr>
                          <w:fldChar w:fldCharType="separate"/>
                        </w:r>
                        <w:r>
                          <w:rPr>
                            <w:rFonts w:ascii="宋体" w:hAnsi="宋体" w:cs="宋体"/>
                            <w:sz w:val="20"/>
                            <w:szCs w:val="21"/>
                            <w:lang w:val="zh-CN"/>
                          </w:rPr>
                          <w:t>1</w:t>
                        </w:r>
                        <w:r>
                          <w:rPr>
                            <w:rFonts w:hint="eastAsia" w:ascii="宋体" w:hAnsi="宋体" w:cs="宋体"/>
                            <w:sz w:val="20"/>
                            <w:szCs w:val="21"/>
                          </w:rPr>
                          <w:fldChar w:fldCharType="end"/>
                        </w:r>
                      </w:p>
                    </w:sdtContent>
                  </w:sdt>
                  <w:p>
                    <w:pPr>
                      <w:pStyle w:val="15"/>
                    </w:pP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U4YjFmZTI4MGY4M2ZlMTZjNmRjOGFkZjM4NzMifQ=="/>
  </w:docVars>
  <w:rsids>
    <w:rsidRoot w:val="00E67491"/>
    <w:rsid w:val="00042E66"/>
    <w:rsid w:val="00071E9F"/>
    <w:rsid w:val="0014556A"/>
    <w:rsid w:val="00192F65"/>
    <w:rsid w:val="001A4F60"/>
    <w:rsid w:val="002E4454"/>
    <w:rsid w:val="0032355A"/>
    <w:rsid w:val="003628A8"/>
    <w:rsid w:val="003A629A"/>
    <w:rsid w:val="00413008"/>
    <w:rsid w:val="004A100C"/>
    <w:rsid w:val="004D373D"/>
    <w:rsid w:val="004D6360"/>
    <w:rsid w:val="00523159"/>
    <w:rsid w:val="00581191"/>
    <w:rsid w:val="00634CB1"/>
    <w:rsid w:val="006A118A"/>
    <w:rsid w:val="006B4F71"/>
    <w:rsid w:val="006D481A"/>
    <w:rsid w:val="007E1D79"/>
    <w:rsid w:val="00803078"/>
    <w:rsid w:val="00844285"/>
    <w:rsid w:val="00952D67"/>
    <w:rsid w:val="00980455"/>
    <w:rsid w:val="00A10BA9"/>
    <w:rsid w:val="00A41BC3"/>
    <w:rsid w:val="00B8627E"/>
    <w:rsid w:val="00BF7DD1"/>
    <w:rsid w:val="00C30776"/>
    <w:rsid w:val="00C33D78"/>
    <w:rsid w:val="00C71B49"/>
    <w:rsid w:val="00CE7385"/>
    <w:rsid w:val="00CF4099"/>
    <w:rsid w:val="00E67491"/>
    <w:rsid w:val="00F90887"/>
    <w:rsid w:val="00F91DEB"/>
    <w:rsid w:val="02913D46"/>
    <w:rsid w:val="02D2752A"/>
    <w:rsid w:val="03942A31"/>
    <w:rsid w:val="05ED6429"/>
    <w:rsid w:val="05F81055"/>
    <w:rsid w:val="060A6FDB"/>
    <w:rsid w:val="06A72A7B"/>
    <w:rsid w:val="06F9C141"/>
    <w:rsid w:val="07D653C6"/>
    <w:rsid w:val="08DB07BA"/>
    <w:rsid w:val="09D15564"/>
    <w:rsid w:val="0A51342A"/>
    <w:rsid w:val="0A690774"/>
    <w:rsid w:val="0AE54168"/>
    <w:rsid w:val="0B0B7CAC"/>
    <w:rsid w:val="0B420FC5"/>
    <w:rsid w:val="0CBA4CF4"/>
    <w:rsid w:val="0CCD48BE"/>
    <w:rsid w:val="0CF307C8"/>
    <w:rsid w:val="0D2B010C"/>
    <w:rsid w:val="0D935B07"/>
    <w:rsid w:val="0E6179B4"/>
    <w:rsid w:val="0FD22917"/>
    <w:rsid w:val="10B2272B"/>
    <w:rsid w:val="11684E27"/>
    <w:rsid w:val="118934A9"/>
    <w:rsid w:val="13402F21"/>
    <w:rsid w:val="13821C80"/>
    <w:rsid w:val="13C133CE"/>
    <w:rsid w:val="14634486"/>
    <w:rsid w:val="154442A0"/>
    <w:rsid w:val="156D0F2C"/>
    <w:rsid w:val="15CE3245"/>
    <w:rsid w:val="16691AFB"/>
    <w:rsid w:val="173E6AE4"/>
    <w:rsid w:val="17872A04"/>
    <w:rsid w:val="185B1232"/>
    <w:rsid w:val="1A1566D8"/>
    <w:rsid w:val="1ACA40E9"/>
    <w:rsid w:val="1B244243"/>
    <w:rsid w:val="1B26620D"/>
    <w:rsid w:val="1B866D18"/>
    <w:rsid w:val="1C752FA8"/>
    <w:rsid w:val="1CA4388D"/>
    <w:rsid w:val="1D477CBD"/>
    <w:rsid w:val="1DA6229F"/>
    <w:rsid w:val="1E430E84"/>
    <w:rsid w:val="1F9A6275"/>
    <w:rsid w:val="1FF91C64"/>
    <w:rsid w:val="20CC01D5"/>
    <w:rsid w:val="20E56222"/>
    <w:rsid w:val="223F7EDE"/>
    <w:rsid w:val="246D0A09"/>
    <w:rsid w:val="247F0210"/>
    <w:rsid w:val="24877D1C"/>
    <w:rsid w:val="253D487F"/>
    <w:rsid w:val="259408C4"/>
    <w:rsid w:val="25D8389B"/>
    <w:rsid w:val="25DA0320"/>
    <w:rsid w:val="268169ED"/>
    <w:rsid w:val="26EE07F0"/>
    <w:rsid w:val="2771703E"/>
    <w:rsid w:val="287E18C5"/>
    <w:rsid w:val="297F5466"/>
    <w:rsid w:val="29D15596"/>
    <w:rsid w:val="2B6B0121"/>
    <w:rsid w:val="2C90798A"/>
    <w:rsid w:val="2DF342A1"/>
    <w:rsid w:val="2EDA313F"/>
    <w:rsid w:val="2FA958B8"/>
    <w:rsid w:val="2FF0275E"/>
    <w:rsid w:val="3017022E"/>
    <w:rsid w:val="304F5296"/>
    <w:rsid w:val="31F45FB1"/>
    <w:rsid w:val="32373CA7"/>
    <w:rsid w:val="3350574A"/>
    <w:rsid w:val="33997124"/>
    <w:rsid w:val="344C07F1"/>
    <w:rsid w:val="352F4274"/>
    <w:rsid w:val="36DA0180"/>
    <w:rsid w:val="36F154C9"/>
    <w:rsid w:val="36FBA52F"/>
    <w:rsid w:val="387C7014"/>
    <w:rsid w:val="38897E6A"/>
    <w:rsid w:val="39590AF0"/>
    <w:rsid w:val="3A144E67"/>
    <w:rsid w:val="3A241712"/>
    <w:rsid w:val="3B143534"/>
    <w:rsid w:val="3C28373B"/>
    <w:rsid w:val="3C776471"/>
    <w:rsid w:val="3D9B4DA3"/>
    <w:rsid w:val="3E045AE2"/>
    <w:rsid w:val="3FDFA859"/>
    <w:rsid w:val="40D514AA"/>
    <w:rsid w:val="41235506"/>
    <w:rsid w:val="4303280C"/>
    <w:rsid w:val="434516C0"/>
    <w:rsid w:val="43AC4C52"/>
    <w:rsid w:val="446C2633"/>
    <w:rsid w:val="44B10F3F"/>
    <w:rsid w:val="45B1654F"/>
    <w:rsid w:val="45D463CE"/>
    <w:rsid w:val="4770243A"/>
    <w:rsid w:val="477C493B"/>
    <w:rsid w:val="479C9F46"/>
    <w:rsid w:val="48E21116"/>
    <w:rsid w:val="48F30C2D"/>
    <w:rsid w:val="495E079C"/>
    <w:rsid w:val="49FBFB06"/>
    <w:rsid w:val="4B5C1408"/>
    <w:rsid w:val="4C6065D9"/>
    <w:rsid w:val="4CE216E4"/>
    <w:rsid w:val="4D6B149B"/>
    <w:rsid w:val="4DDF79D2"/>
    <w:rsid w:val="4E1E499E"/>
    <w:rsid w:val="4E8C5DAC"/>
    <w:rsid w:val="4F074CB2"/>
    <w:rsid w:val="4FFD64C7"/>
    <w:rsid w:val="50027D7D"/>
    <w:rsid w:val="511B3417"/>
    <w:rsid w:val="51330760"/>
    <w:rsid w:val="530F48B5"/>
    <w:rsid w:val="537D2167"/>
    <w:rsid w:val="539F20DD"/>
    <w:rsid w:val="5415414D"/>
    <w:rsid w:val="54D47B64"/>
    <w:rsid w:val="56C87B9D"/>
    <w:rsid w:val="5BE54D4D"/>
    <w:rsid w:val="5C2E2250"/>
    <w:rsid w:val="5E856373"/>
    <w:rsid w:val="5EF238AB"/>
    <w:rsid w:val="60530A95"/>
    <w:rsid w:val="60A70823"/>
    <w:rsid w:val="60E43825"/>
    <w:rsid w:val="61EB0BE3"/>
    <w:rsid w:val="625B180A"/>
    <w:rsid w:val="6292105F"/>
    <w:rsid w:val="62951F87"/>
    <w:rsid w:val="62D561FA"/>
    <w:rsid w:val="634144DE"/>
    <w:rsid w:val="63950E07"/>
    <w:rsid w:val="63A01E57"/>
    <w:rsid w:val="63A2C85E"/>
    <w:rsid w:val="63FF44D2"/>
    <w:rsid w:val="643605FC"/>
    <w:rsid w:val="644553A5"/>
    <w:rsid w:val="646B3E10"/>
    <w:rsid w:val="667F6685"/>
    <w:rsid w:val="66D103A8"/>
    <w:rsid w:val="67946A64"/>
    <w:rsid w:val="67987117"/>
    <w:rsid w:val="681349F0"/>
    <w:rsid w:val="686E6EA8"/>
    <w:rsid w:val="688B6145"/>
    <w:rsid w:val="68957BB3"/>
    <w:rsid w:val="68AF296B"/>
    <w:rsid w:val="69A5377A"/>
    <w:rsid w:val="6A0E7A31"/>
    <w:rsid w:val="6A97F2AF"/>
    <w:rsid w:val="6AF3562A"/>
    <w:rsid w:val="6BBB2C00"/>
    <w:rsid w:val="6C117498"/>
    <w:rsid w:val="6D033285"/>
    <w:rsid w:val="6D502F5C"/>
    <w:rsid w:val="6D6A1239"/>
    <w:rsid w:val="6DDAC29B"/>
    <w:rsid w:val="6E7837FF"/>
    <w:rsid w:val="6F457B85"/>
    <w:rsid w:val="6FCE73C6"/>
    <w:rsid w:val="6FFFC6AF"/>
    <w:rsid w:val="703A5210"/>
    <w:rsid w:val="718B55F7"/>
    <w:rsid w:val="724759C2"/>
    <w:rsid w:val="724B0ECA"/>
    <w:rsid w:val="72907369"/>
    <w:rsid w:val="74225D1F"/>
    <w:rsid w:val="74654825"/>
    <w:rsid w:val="7656ADEB"/>
    <w:rsid w:val="76CF12AA"/>
    <w:rsid w:val="773E6C3F"/>
    <w:rsid w:val="776C6C13"/>
    <w:rsid w:val="779416A9"/>
    <w:rsid w:val="78A22EEF"/>
    <w:rsid w:val="78C26B27"/>
    <w:rsid w:val="78EA52F9"/>
    <w:rsid w:val="7A3FD639"/>
    <w:rsid w:val="7B3BB7DA"/>
    <w:rsid w:val="7B3C3170"/>
    <w:rsid w:val="7B6E2211"/>
    <w:rsid w:val="7B9A3006"/>
    <w:rsid w:val="7BE405B4"/>
    <w:rsid w:val="7BEEF8F2"/>
    <w:rsid w:val="7BFF6DC9"/>
    <w:rsid w:val="7C09018C"/>
    <w:rsid w:val="7C4B59FF"/>
    <w:rsid w:val="7C7ABCDF"/>
    <w:rsid w:val="7CE34539"/>
    <w:rsid w:val="7DBEAE89"/>
    <w:rsid w:val="7EFDA3B3"/>
    <w:rsid w:val="7F196938"/>
    <w:rsid w:val="7F360927"/>
    <w:rsid w:val="7F3823EB"/>
    <w:rsid w:val="7F7DA7A2"/>
    <w:rsid w:val="7FAED779"/>
    <w:rsid w:val="7FFB5FBC"/>
    <w:rsid w:val="7FFF2017"/>
    <w:rsid w:val="7FFF5889"/>
    <w:rsid w:val="7FFFDD9F"/>
    <w:rsid w:val="A897C733"/>
    <w:rsid w:val="BBB9DB92"/>
    <w:rsid w:val="BEF94869"/>
    <w:rsid w:val="BEFA7443"/>
    <w:rsid w:val="BFA32CEC"/>
    <w:rsid w:val="CEFFFC8A"/>
    <w:rsid w:val="D5CFA8A9"/>
    <w:rsid w:val="E59958B1"/>
    <w:rsid w:val="EC39560A"/>
    <w:rsid w:val="ED7F4F28"/>
    <w:rsid w:val="EF9B01D3"/>
    <w:rsid w:val="EFAFA9CA"/>
    <w:rsid w:val="EFFD2FF9"/>
    <w:rsid w:val="F5BB29B6"/>
    <w:rsid w:val="F6F552D5"/>
    <w:rsid w:val="F7F60778"/>
    <w:rsid w:val="FAF5F68D"/>
    <w:rsid w:val="FBD34DF6"/>
    <w:rsid w:val="FDFAD698"/>
    <w:rsid w:val="FE9568CD"/>
    <w:rsid w:val="FEE9C1CC"/>
    <w:rsid w:val="FF770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jc w:val="center"/>
      <w:outlineLvl w:val="0"/>
    </w:pPr>
    <w:rPr>
      <w:rFonts w:ascii="Calibri" w:hAnsi="Calibri"/>
      <w:b/>
      <w:bCs/>
      <w:kern w:val="44"/>
      <w:sz w:val="44"/>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华文中宋" w:hAnsi="宋体" w:eastAsia="华文中宋"/>
      <w:b/>
      <w:bCs/>
      <w:color w:val="000000"/>
      <w:sz w:val="36"/>
      <w:szCs w:val="20"/>
    </w:rPr>
  </w:style>
  <w:style w:type="paragraph" w:styleId="5">
    <w:name w:val="annotation text"/>
    <w:basedOn w:val="1"/>
    <w:link w:val="24"/>
    <w:autoRedefine/>
    <w:qFormat/>
    <w:uiPriority w:val="0"/>
    <w:pPr>
      <w:jc w:val="left"/>
    </w:pPr>
  </w:style>
  <w:style w:type="paragraph" w:styleId="6">
    <w:name w:val="Body Text Indent"/>
    <w:basedOn w:val="1"/>
    <w:next w:val="1"/>
    <w:autoRedefine/>
    <w:semiHidden/>
    <w:unhideWhenUsed/>
    <w:qFormat/>
    <w:uiPriority w:val="99"/>
    <w:pPr>
      <w:spacing w:after="120"/>
      <w:ind w:left="420" w:leftChars="200"/>
    </w:pPr>
  </w:style>
  <w:style w:type="paragraph" w:styleId="7">
    <w:name w:val="toc 3"/>
    <w:basedOn w:val="1"/>
    <w:next w:val="1"/>
    <w:autoRedefine/>
    <w:unhideWhenUsed/>
    <w:qFormat/>
    <w:uiPriority w:val="39"/>
    <w:pPr>
      <w:ind w:left="840" w:leftChars="400"/>
    </w:pPr>
  </w:style>
  <w:style w:type="paragraph" w:styleId="8">
    <w:name w:val="Date"/>
    <w:basedOn w:val="1"/>
    <w:next w:val="1"/>
    <w:link w:val="31"/>
    <w:autoRedefine/>
    <w:semiHidden/>
    <w:unhideWhenUsed/>
    <w:qFormat/>
    <w:uiPriority w:val="0"/>
    <w:pPr>
      <w:ind w:left="100" w:leftChars="2500"/>
    </w:pPr>
  </w:style>
  <w:style w:type="paragraph" w:styleId="9">
    <w:name w:val="Balloon Text"/>
    <w:basedOn w:val="1"/>
    <w:link w:val="26"/>
    <w:autoRedefine/>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6"/>
    <w:autoRedefine/>
    <w:qFormat/>
    <w:uiPriority w:val="0"/>
    <w:pPr>
      <w:spacing w:before="240" w:after="60"/>
      <w:jc w:val="center"/>
      <w:outlineLvl w:val="0"/>
    </w:pPr>
    <w:rPr>
      <w:rFonts w:ascii="Cambria" w:hAnsi="Cambria"/>
      <w:b/>
      <w:bCs/>
      <w:sz w:val="32"/>
      <w:szCs w:val="32"/>
    </w:rPr>
  </w:style>
  <w:style w:type="paragraph" w:styleId="16">
    <w:name w:val="annotation subject"/>
    <w:basedOn w:val="5"/>
    <w:next w:val="5"/>
    <w:link w:val="25"/>
    <w:autoRedefine/>
    <w:qFormat/>
    <w:uiPriority w:val="0"/>
    <w:rPr>
      <w:b/>
      <w:bCs/>
    </w:rPr>
  </w:style>
  <w:style w:type="table" w:styleId="1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page number"/>
    <w:basedOn w:val="19"/>
    <w:autoRedefine/>
    <w:qFormat/>
    <w:uiPriority w:val="0"/>
  </w:style>
  <w:style w:type="character" w:styleId="21">
    <w:name w:val="Hyperlink"/>
    <w:autoRedefine/>
    <w:unhideWhenUsed/>
    <w:qFormat/>
    <w:uiPriority w:val="99"/>
    <w:rPr>
      <w:color w:val="0000FF"/>
      <w:u w:val="single"/>
    </w:rPr>
  </w:style>
  <w:style w:type="character" w:styleId="22">
    <w:name w:val="annotation reference"/>
    <w:basedOn w:val="19"/>
    <w:autoRedefine/>
    <w:qFormat/>
    <w:uiPriority w:val="0"/>
    <w:rPr>
      <w:sz w:val="21"/>
      <w:szCs w:val="21"/>
    </w:rPr>
  </w:style>
  <w:style w:type="paragraph" w:customStyle="1" w:styleId="23">
    <w:name w:val="列出段落1"/>
    <w:basedOn w:val="1"/>
    <w:autoRedefine/>
    <w:qFormat/>
    <w:uiPriority w:val="34"/>
    <w:pPr>
      <w:ind w:firstLine="420" w:firstLineChars="200"/>
    </w:pPr>
    <w:rPr>
      <w:rFonts w:ascii="Calibri" w:hAnsi="Calibri" w:cs="黑体"/>
      <w:szCs w:val="22"/>
    </w:rPr>
  </w:style>
  <w:style w:type="character" w:customStyle="1" w:styleId="24">
    <w:name w:val="批注文字 Char"/>
    <w:basedOn w:val="19"/>
    <w:link w:val="5"/>
    <w:autoRedefine/>
    <w:qFormat/>
    <w:uiPriority w:val="0"/>
    <w:rPr>
      <w:rFonts w:ascii="Times New Roman" w:hAnsi="Times New Roman" w:eastAsia="宋体" w:cs="Times New Roman"/>
      <w:kern w:val="2"/>
      <w:sz w:val="21"/>
      <w:szCs w:val="24"/>
    </w:rPr>
  </w:style>
  <w:style w:type="character" w:customStyle="1" w:styleId="25">
    <w:name w:val="批注主题 Char"/>
    <w:basedOn w:val="24"/>
    <w:link w:val="16"/>
    <w:autoRedefine/>
    <w:qFormat/>
    <w:uiPriority w:val="0"/>
    <w:rPr>
      <w:rFonts w:ascii="Times New Roman" w:hAnsi="Times New Roman" w:eastAsia="宋体" w:cs="Times New Roman"/>
      <w:b/>
      <w:bCs/>
      <w:kern w:val="2"/>
      <w:sz w:val="21"/>
      <w:szCs w:val="24"/>
    </w:rPr>
  </w:style>
  <w:style w:type="character" w:customStyle="1" w:styleId="26">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27">
    <w:name w:val="列出段落2"/>
    <w:basedOn w:val="1"/>
    <w:autoRedefine/>
    <w:unhideWhenUsed/>
    <w:qFormat/>
    <w:uiPriority w:val="99"/>
    <w:pPr>
      <w:ind w:firstLine="420" w:firstLineChars="200"/>
    </w:pPr>
  </w:style>
  <w:style w:type="character" w:customStyle="1" w:styleId="28">
    <w:name w:val="页脚 Char"/>
    <w:basedOn w:val="19"/>
    <w:link w:val="10"/>
    <w:autoRedefine/>
    <w:qFormat/>
    <w:uiPriority w:val="99"/>
    <w:rPr>
      <w:rFonts w:ascii="Times New Roman" w:hAnsi="Times New Roman" w:eastAsia="宋体" w:cs="Times New Roman"/>
      <w:kern w:val="2"/>
      <w:sz w:val="18"/>
    </w:rPr>
  </w:style>
  <w:style w:type="paragraph" w:customStyle="1" w:styleId="2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0">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日期 Char"/>
    <w:basedOn w:val="19"/>
    <w:link w:val="8"/>
    <w:autoRedefine/>
    <w:semiHidden/>
    <w:qFormat/>
    <w:uiPriority w:val="0"/>
    <w:rPr>
      <w:kern w:val="2"/>
      <w:sz w:val="21"/>
      <w:szCs w:val="24"/>
    </w:rPr>
  </w:style>
  <w:style w:type="paragraph" w:customStyle="1" w:styleId="32">
    <w:name w:val="TOC 标题1"/>
    <w:basedOn w:val="3"/>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3">
    <w:name w:val="font11"/>
    <w:basedOn w:val="19"/>
    <w:autoRedefine/>
    <w:qFormat/>
    <w:uiPriority w:val="0"/>
    <w:rPr>
      <w:rFonts w:hint="eastAsia" w:ascii="宋体" w:hAnsi="宋体" w:eastAsia="宋体" w:cs="宋体"/>
      <w:color w:val="000000"/>
      <w:sz w:val="18"/>
      <w:szCs w:val="18"/>
      <w:u w:val="none"/>
    </w:rPr>
  </w:style>
  <w:style w:type="character" w:customStyle="1" w:styleId="34">
    <w:name w:val="font21"/>
    <w:basedOn w:val="19"/>
    <w:autoRedefine/>
    <w:qFormat/>
    <w:uiPriority w:val="0"/>
    <w:rPr>
      <w:rFonts w:hint="eastAsia" w:ascii="宋体" w:hAnsi="宋体" w:eastAsia="宋体" w:cs="宋体"/>
      <w:color w:val="000000"/>
      <w:sz w:val="18"/>
      <w:szCs w:val="18"/>
      <w:u w:val="none"/>
    </w:rPr>
  </w:style>
  <w:style w:type="character" w:customStyle="1" w:styleId="3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12516</Words>
  <Characters>13470</Characters>
  <Lines>94</Lines>
  <Paragraphs>26</Paragraphs>
  <TotalTime>1</TotalTime>
  <ScaleCrop>false</ScaleCrop>
  <LinksUpToDate>false</LinksUpToDate>
  <CharactersWithSpaces>13723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2022-03-13T19:16:00Z</dcterms:created>
  <dc:creator>user</dc:creator>
  <cp:lastModifiedBy>肆月</cp:lastModifiedBy>
  <cp:lastPrinted>2022-05-25T15:00:00Z</cp:lastPrinted>
  <dcterms:modified xsi:type="dcterms:W3CDTF">2024-05-17T03:09:42Z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18BA5FA2357A487A98B6AF3FCA353B5F_13</vt:lpwstr>
  </property>
</Properties>
</file>